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776" w:rsidRPr="00792776" w:rsidRDefault="00792776" w:rsidP="0003512E">
      <w:pPr>
        <w:spacing w:before="240" w:after="240" w:line="360" w:lineRule="auto"/>
        <w:jc w:val="center"/>
        <w:rPr>
          <w:rFonts w:ascii="Palatino Linotype" w:eastAsia="MS Mincho" w:hAnsi="Palatino Linotype" w:cs="Times New Roman"/>
          <w:b/>
          <w:sz w:val="24"/>
          <w:szCs w:val="24"/>
          <w:lang w:val="es-ES_tradnl" w:eastAsia="es-ES"/>
        </w:rPr>
      </w:pPr>
      <w:r w:rsidRPr="00792776">
        <w:rPr>
          <w:rFonts w:ascii="Palatino Linotype" w:eastAsia="MS Mincho" w:hAnsi="Palatino Linotype" w:cs="Times New Roman"/>
          <w:b/>
          <w:sz w:val="24"/>
          <w:szCs w:val="24"/>
          <w:lang w:val="es-ES_tradnl" w:eastAsia="es-ES"/>
        </w:rPr>
        <w:t>LÍNEAS ARGUMENTATIVAS.</w:t>
      </w:r>
    </w:p>
    <w:p w:rsidR="00202E6A" w:rsidRPr="00202E6A" w:rsidRDefault="00202E6A" w:rsidP="00202E6A">
      <w:pPr>
        <w:spacing w:after="0" w:line="360" w:lineRule="auto"/>
        <w:jc w:val="both"/>
        <w:rPr>
          <w:rFonts w:ascii="Palatino Linotype" w:eastAsia="Arial Unicode MS" w:hAnsi="Palatino Linotype" w:cs="Arial"/>
          <w:sz w:val="24"/>
          <w:szCs w:val="24"/>
          <w:lang w:val="es-ES_tradnl" w:eastAsia="es-ES"/>
        </w:rPr>
      </w:pPr>
      <w:r w:rsidRPr="00202E6A">
        <w:rPr>
          <w:rFonts w:ascii="Palatino Linotype" w:eastAsia="Arial Unicode MS" w:hAnsi="Palatino Linotype" w:cs="Arial"/>
          <w:b/>
          <w:sz w:val="24"/>
          <w:szCs w:val="24"/>
          <w:lang w:val="es-ES_tradnl" w:eastAsia="es-ES"/>
        </w:rPr>
        <w:t>DEBERES DE LAS AUTORIDADES</w:t>
      </w:r>
      <w:r w:rsidRPr="00202E6A">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202E6A" w:rsidRDefault="00202E6A" w:rsidP="00202E6A">
      <w:pPr>
        <w:spacing w:after="0" w:line="360" w:lineRule="auto"/>
        <w:jc w:val="both"/>
        <w:rPr>
          <w:rFonts w:ascii="Palatino Linotype" w:eastAsia="Calibri" w:hAnsi="Palatino Linotype" w:cs="Times New Roman"/>
          <w:b/>
          <w:sz w:val="24"/>
          <w:szCs w:val="24"/>
          <w:lang w:val="es-ES_tradnl" w:eastAsia="es-ES"/>
        </w:rPr>
      </w:pPr>
    </w:p>
    <w:p w:rsidR="0003512E" w:rsidRDefault="0003512E" w:rsidP="0003512E">
      <w:pPr>
        <w:spacing w:after="0" w:line="360" w:lineRule="auto"/>
        <w:contextualSpacing/>
        <w:jc w:val="both"/>
        <w:rPr>
          <w:rFonts w:ascii="Palatino Linotype" w:eastAsia="Times New Roman" w:hAnsi="Palatino Linotype"/>
          <w:sz w:val="24"/>
          <w:szCs w:val="24"/>
          <w:lang w:val="es-ES_tradnl" w:eastAsia="es-ES"/>
        </w:rPr>
      </w:pPr>
      <w:r w:rsidRPr="00235039">
        <w:rPr>
          <w:rFonts w:ascii="Palatino Linotype" w:eastAsia="Times New Roman" w:hAnsi="Palatino Linotype"/>
          <w:b/>
          <w:sz w:val="24"/>
          <w:szCs w:val="24"/>
          <w:lang w:val="es-ES_tradnl" w:eastAsia="es-ES"/>
        </w:rPr>
        <w:t>DE LAS RESPUESTAS INCOMPLETAS Y DEFICIENTES.</w:t>
      </w:r>
      <w:r w:rsidRPr="00235039">
        <w:rPr>
          <w:rFonts w:ascii="Palatino Linotype" w:eastAsia="Times New Roman" w:hAnsi="Palatino Linotype"/>
          <w:sz w:val="24"/>
          <w:szCs w:val="24"/>
          <w:lang w:val="es-ES_tradnl" w:eastAsia="es-ES"/>
        </w:rPr>
        <w:t xml:space="preserve"> Las respuestas proporcionadas por los sujetos obligados que resulten incongruentes con lo solicitado, trae como consecuencia que se retrase el acceso a la información pública vulnerando el derecho fundamental de la personas para acceder a la misma.</w:t>
      </w:r>
    </w:p>
    <w:p w:rsidR="009E54E6" w:rsidRPr="002F6FAD" w:rsidRDefault="009E54E6" w:rsidP="009E54E6">
      <w:pPr>
        <w:spacing w:before="240" w:after="240" w:line="360" w:lineRule="auto"/>
        <w:jc w:val="both"/>
        <w:rPr>
          <w:rFonts w:ascii="Palatino Linotype" w:eastAsia="Arial Unicode MS" w:hAnsi="Palatino Linotype" w:cs="Arial"/>
          <w:sz w:val="24"/>
          <w:szCs w:val="24"/>
          <w:lang w:eastAsia="es-ES"/>
        </w:rPr>
      </w:pPr>
      <w:r w:rsidRPr="002F6FAD">
        <w:rPr>
          <w:rFonts w:ascii="Palatino Linotype" w:eastAsia="Arial Unicode MS" w:hAnsi="Palatino Linotype" w:cs="Arial"/>
          <w:b/>
          <w:sz w:val="24"/>
          <w:szCs w:val="24"/>
          <w:lang w:eastAsia="es-ES"/>
        </w:rPr>
        <w:t>DE LA ELABORACIÓN DE LAS VERSIONES PÚBLICAS</w:t>
      </w:r>
      <w:r w:rsidRPr="002F6FAD">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AD710D" w:rsidRDefault="00AD710D" w:rsidP="00202E6A">
      <w:pPr>
        <w:spacing w:after="0" w:line="360" w:lineRule="auto"/>
        <w:jc w:val="both"/>
        <w:rPr>
          <w:rFonts w:ascii="Palatino Linotype" w:eastAsia="Calibri" w:hAnsi="Palatino Linotype" w:cs="Times New Roman"/>
          <w:b/>
          <w:sz w:val="24"/>
          <w:szCs w:val="24"/>
          <w:lang w:val="es-ES_tradnl" w:eastAsia="es-ES"/>
        </w:rPr>
      </w:pPr>
    </w:p>
    <w:p w:rsidR="00CA5F98" w:rsidRDefault="00CA5F98" w:rsidP="00202E6A">
      <w:pPr>
        <w:spacing w:after="0" w:line="360" w:lineRule="auto"/>
        <w:jc w:val="both"/>
        <w:rPr>
          <w:rFonts w:ascii="Palatino Linotype" w:eastAsia="Calibri" w:hAnsi="Palatino Linotype" w:cs="Times New Roman"/>
          <w:b/>
          <w:sz w:val="24"/>
          <w:szCs w:val="24"/>
          <w:lang w:val="es-ES_tradnl" w:eastAsia="es-ES"/>
        </w:rPr>
      </w:pPr>
    </w:p>
    <w:p w:rsidR="00CA5F98" w:rsidRDefault="00CA5F98" w:rsidP="00202E6A">
      <w:pPr>
        <w:spacing w:after="0" w:line="360" w:lineRule="auto"/>
        <w:jc w:val="both"/>
        <w:rPr>
          <w:rFonts w:ascii="Palatino Linotype" w:eastAsia="Calibri" w:hAnsi="Palatino Linotype" w:cs="Times New Roman"/>
          <w:b/>
          <w:sz w:val="24"/>
          <w:szCs w:val="24"/>
          <w:lang w:val="es-ES_tradnl" w:eastAsia="es-ES"/>
        </w:rPr>
      </w:pPr>
    </w:p>
    <w:p w:rsidR="00CA5F98" w:rsidRDefault="00CA5F98" w:rsidP="00202E6A">
      <w:pPr>
        <w:spacing w:after="0" w:line="360" w:lineRule="auto"/>
        <w:jc w:val="both"/>
        <w:rPr>
          <w:rFonts w:ascii="Palatino Linotype" w:eastAsia="Calibri" w:hAnsi="Palatino Linotype" w:cs="Times New Roman"/>
          <w:b/>
          <w:sz w:val="24"/>
          <w:szCs w:val="24"/>
          <w:lang w:val="es-ES_tradnl" w:eastAsia="es-ES"/>
        </w:rPr>
      </w:pPr>
    </w:p>
    <w:p w:rsidR="0003512E" w:rsidRDefault="0003512E" w:rsidP="00AD710D">
      <w:pPr>
        <w:spacing w:line="360" w:lineRule="auto"/>
        <w:jc w:val="center"/>
        <w:rPr>
          <w:rFonts w:ascii="Palatino Linotype" w:eastAsia="Times New Roman" w:hAnsi="Palatino Linotype" w:cs="Times New Roman"/>
          <w:b/>
          <w:u w:val="single"/>
        </w:rPr>
      </w:pPr>
    </w:p>
    <w:p w:rsidR="00AD710D" w:rsidRPr="00EE0ACB" w:rsidRDefault="00AD710D" w:rsidP="00AD710D">
      <w:pPr>
        <w:spacing w:line="360" w:lineRule="auto"/>
        <w:jc w:val="center"/>
        <w:rPr>
          <w:rFonts w:ascii="Palatino Linotype" w:eastAsia="Times New Roman" w:hAnsi="Palatino Linotype" w:cs="Times New Roman"/>
          <w:b/>
          <w:u w:val="single"/>
        </w:rPr>
      </w:pPr>
      <w:r w:rsidRPr="00EE0ACB">
        <w:rPr>
          <w:rFonts w:ascii="Palatino Linotype" w:eastAsia="Times New Roman" w:hAnsi="Palatino Linotype" w:cs="Times New Roman"/>
          <w:b/>
          <w:u w:val="single"/>
        </w:rPr>
        <w:t>ÍNDICE</w:t>
      </w:r>
    </w:p>
    <w:sdt>
      <w:sdtPr>
        <w:rPr>
          <w:rFonts w:asciiTheme="minorHAnsi" w:eastAsiaTheme="minorEastAsia" w:hAnsiTheme="minorHAnsi" w:cstheme="minorBidi"/>
          <w:sz w:val="22"/>
          <w:szCs w:val="24"/>
          <w:lang w:val="es-ES" w:eastAsia="es-ES"/>
        </w:rPr>
        <w:id w:val="-1245946457"/>
        <w:docPartObj>
          <w:docPartGallery w:val="Table of Contents"/>
          <w:docPartUnique/>
        </w:docPartObj>
      </w:sdtPr>
      <w:sdtEndPr>
        <w:rPr>
          <w:rFonts w:eastAsiaTheme="minorHAnsi"/>
          <w:b/>
          <w:bCs/>
          <w:szCs w:val="22"/>
          <w:lang w:eastAsia="en-US"/>
        </w:rPr>
      </w:sdtEndPr>
      <w:sdtContent>
        <w:p w:rsidR="00AD710D" w:rsidRPr="00C32E86" w:rsidRDefault="00AD710D" w:rsidP="00AD710D">
          <w:pPr>
            <w:pStyle w:val="TtulodeTDC"/>
            <w:spacing w:before="0" w:line="480" w:lineRule="auto"/>
          </w:pPr>
        </w:p>
        <w:p w:rsidR="002017B2" w:rsidRDefault="00AD710D">
          <w:pPr>
            <w:pStyle w:val="TDC1"/>
            <w:rPr>
              <w:noProof/>
              <w:sz w:val="22"/>
              <w:szCs w:val="22"/>
              <w:lang w:val="es-MX" w:eastAsia="es-MX"/>
            </w:rPr>
          </w:pPr>
          <w:r w:rsidRPr="00C32E86">
            <w:fldChar w:fldCharType="begin"/>
          </w:r>
          <w:r w:rsidRPr="00C32E86">
            <w:instrText xml:space="preserve"> TOC \o "1-3" \h \z \u </w:instrText>
          </w:r>
          <w:r w:rsidRPr="00C32E86">
            <w:fldChar w:fldCharType="separate"/>
          </w:r>
          <w:hyperlink w:anchor="_Toc522809770" w:history="1">
            <w:r w:rsidR="002017B2" w:rsidRPr="005E2F1B">
              <w:rPr>
                <w:rStyle w:val="Hipervnculo"/>
                <w:rFonts w:ascii="Palatino Linotype" w:eastAsia="MS Gothic" w:hAnsi="Palatino Linotype" w:cs="Times New Roman"/>
                <w:b/>
                <w:noProof/>
              </w:rPr>
              <w:t>A N T E C E D E N T E S</w:t>
            </w:r>
            <w:r w:rsidR="002017B2">
              <w:rPr>
                <w:noProof/>
                <w:webHidden/>
              </w:rPr>
              <w:tab/>
            </w:r>
            <w:r w:rsidR="002017B2">
              <w:rPr>
                <w:noProof/>
                <w:webHidden/>
              </w:rPr>
              <w:fldChar w:fldCharType="begin"/>
            </w:r>
            <w:r w:rsidR="002017B2">
              <w:rPr>
                <w:noProof/>
                <w:webHidden/>
              </w:rPr>
              <w:instrText xml:space="preserve"> PAGEREF _Toc522809770 \h </w:instrText>
            </w:r>
            <w:r w:rsidR="002017B2">
              <w:rPr>
                <w:noProof/>
                <w:webHidden/>
              </w:rPr>
            </w:r>
            <w:r w:rsidR="002017B2">
              <w:rPr>
                <w:noProof/>
                <w:webHidden/>
              </w:rPr>
              <w:fldChar w:fldCharType="separate"/>
            </w:r>
            <w:r w:rsidR="002017B2">
              <w:rPr>
                <w:noProof/>
                <w:webHidden/>
              </w:rPr>
              <w:t>3</w:t>
            </w:r>
            <w:r w:rsidR="002017B2">
              <w:rPr>
                <w:noProof/>
                <w:webHidden/>
              </w:rPr>
              <w:fldChar w:fldCharType="end"/>
            </w:r>
          </w:hyperlink>
        </w:p>
        <w:p w:rsidR="002017B2" w:rsidRDefault="004C1C0D">
          <w:pPr>
            <w:pStyle w:val="TDC2"/>
            <w:tabs>
              <w:tab w:val="left" w:pos="1100"/>
            </w:tabs>
            <w:rPr>
              <w:noProof/>
              <w:sz w:val="22"/>
              <w:szCs w:val="22"/>
              <w:lang w:val="es-MX" w:eastAsia="es-MX"/>
            </w:rPr>
          </w:pPr>
          <w:hyperlink w:anchor="_Toc522809771" w:history="1">
            <w:r w:rsidR="002017B2" w:rsidRPr="005E2F1B">
              <w:rPr>
                <w:rStyle w:val="Hipervnculo"/>
                <w:rFonts w:ascii="Palatino Linotype" w:eastAsiaTheme="minorHAnsi" w:hAnsi="Palatino Linotype"/>
                <w:b/>
                <w:noProof/>
              </w:rPr>
              <w:t>a)</w:t>
            </w:r>
            <w:r w:rsidR="002017B2">
              <w:rPr>
                <w:noProof/>
                <w:sz w:val="22"/>
                <w:szCs w:val="22"/>
                <w:lang w:val="es-MX" w:eastAsia="es-MX"/>
              </w:rPr>
              <w:tab/>
            </w:r>
            <w:r w:rsidR="002017B2" w:rsidRPr="005E2F1B">
              <w:rPr>
                <w:rStyle w:val="Hipervnculo"/>
                <w:rFonts w:ascii="Palatino Linotype" w:hAnsi="Palatino Linotype"/>
                <w:b/>
                <w:noProof/>
              </w:rPr>
              <w:t>Acto impugnado:</w:t>
            </w:r>
            <w:r w:rsidR="002017B2">
              <w:rPr>
                <w:noProof/>
                <w:webHidden/>
              </w:rPr>
              <w:tab/>
            </w:r>
            <w:r w:rsidR="002017B2">
              <w:rPr>
                <w:noProof/>
                <w:webHidden/>
              </w:rPr>
              <w:fldChar w:fldCharType="begin"/>
            </w:r>
            <w:r w:rsidR="002017B2">
              <w:rPr>
                <w:noProof/>
                <w:webHidden/>
              </w:rPr>
              <w:instrText xml:space="preserve"> PAGEREF _Toc522809771 \h </w:instrText>
            </w:r>
            <w:r w:rsidR="002017B2">
              <w:rPr>
                <w:noProof/>
                <w:webHidden/>
              </w:rPr>
            </w:r>
            <w:r w:rsidR="002017B2">
              <w:rPr>
                <w:noProof/>
                <w:webHidden/>
              </w:rPr>
              <w:fldChar w:fldCharType="separate"/>
            </w:r>
            <w:r w:rsidR="002017B2">
              <w:rPr>
                <w:noProof/>
                <w:webHidden/>
              </w:rPr>
              <w:t>5</w:t>
            </w:r>
            <w:r w:rsidR="002017B2">
              <w:rPr>
                <w:noProof/>
                <w:webHidden/>
              </w:rPr>
              <w:fldChar w:fldCharType="end"/>
            </w:r>
          </w:hyperlink>
        </w:p>
        <w:p w:rsidR="002017B2" w:rsidRDefault="004C1C0D">
          <w:pPr>
            <w:pStyle w:val="TDC2"/>
            <w:tabs>
              <w:tab w:val="left" w:pos="1100"/>
            </w:tabs>
            <w:rPr>
              <w:noProof/>
              <w:sz w:val="22"/>
              <w:szCs w:val="22"/>
              <w:lang w:val="es-MX" w:eastAsia="es-MX"/>
            </w:rPr>
          </w:pPr>
          <w:hyperlink w:anchor="_Toc522809772" w:history="1">
            <w:r w:rsidR="002017B2" w:rsidRPr="005E2F1B">
              <w:rPr>
                <w:rStyle w:val="Hipervnculo"/>
                <w:rFonts w:ascii="Palatino Linotype" w:eastAsiaTheme="minorHAnsi" w:hAnsi="Palatino Linotype"/>
                <w:b/>
                <w:noProof/>
              </w:rPr>
              <w:t>b)</w:t>
            </w:r>
            <w:r w:rsidR="002017B2">
              <w:rPr>
                <w:noProof/>
                <w:sz w:val="22"/>
                <w:szCs w:val="22"/>
                <w:lang w:val="es-MX" w:eastAsia="es-MX"/>
              </w:rPr>
              <w:tab/>
            </w:r>
            <w:r w:rsidR="002017B2" w:rsidRPr="005E2F1B">
              <w:rPr>
                <w:rStyle w:val="Hipervnculo"/>
                <w:rFonts w:ascii="Palatino Linotype" w:hAnsi="Palatino Linotype"/>
                <w:b/>
                <w:noProof/>
              </w:rPr>
              <w:t>Razones o Motivos de inconformidad:</w:t>
            </w:r>
            <w:r w:rsidR="002017B2">
              <w:rPr>
                <w:noProof/>
                <w:webHidden/>
              </w:rPr>
              <w:tab/>
            </w:r>
            <w:r w:rsidR="002017B2">
              <w:rPr>
                <w:noProof/>
                <w:webHidden/>
              </w:rPr>
              <w:fldChar w:fldCharType="begin"/>
            </w:r>
            <w:r w:rsidR="002017B2">
              <w:rPr>
                <w:noProof/>
                <w:webHidden/>
              </w:rPr>
              <w:instrText xml:space="preserve"> PAGEREF _Toc522809772 \h </w:instrText>
            </w:r>
            <w:r w:rsidR="002017B2">
              <w:rPr>
                <w:noProof/>
                <w:webHidden/>
              </w:rPr>
            </w:r>
            <w:r w:rsidR="002017B2">
              <w:rPr>
                <w:noProof/>
                <w:webHidden/>
              </w:rPr>
              <w:fldChar w:fldCharType="separate"/>
            </w:r>
            <w:r w:rsidR="002017B2">
              <w:rPr>
                <w:noProof/>
                <w:webHidden/>
              </w:rPr>
              <w:t>6</w:t>
            </w:r>
            <w:r w:rsidR="002017B2">
              <w:rPr>
                <w:noProof/>
                <w:webHidden/>
              </w:rPr>
              <w:fldChar w:fldCharType="end"/>
            </w:r>
          </w:hyperlink>
        </w:p>
        <w:p w:rsidR="002017B2" w:rsidRDefault="004C1C0D">
          <w:pPr>
            <w:pStyle w:val="TDC1"/>
            <w:rPr>
              <w:noProof/>
              <w:sz w:val="22"/>
              <w:szCs w:val="22"/>
              <w:lang w:val="es-MX" w:eastAsia="es-MX"/>
            </w:rPr>
          </w:pPr>
          <w:hyperlink w:anchor="_Toc522809773" w:history="1">
            <w:r w:rsidR="002017B2" w:rsidRPr="005E2F1B">
              <w:rPr>
                <w:rStyle w:val="Hipervnculo"/>
                <w:rFonts w:ascii="Palatino Linotype" w:eastAsia="MS Gothic" w:hAnsi="Palatino Linotype" w:cs="Times New Roman"/>
                <w:b/>
                <w:noProof/>
              </w:rPr>
              <w:t>CONSIDERANDO</w:t>
            </w:r>
            <w:r w:rsidR="002017B2">
              <w:rPr>
                <w:noProof/>
                <w:webHidden/>
              </w:rPr>
              <w:tab/>
            </w:r>
            <w:r w:rsidR="002017B2">
              <w:rPr>
                <w:noProof/>
                <w:webHidden/>
              </w:rPr>
              <w:fldChar w:fldCharType="begin"/>
            </w:r>
            <w:r w:rsidR="002017B2">
              <w:rPr>
                <w:noProof/>
                <w:webHidden/>
              </w:rPr>
              <w:instrText xml:space="preserve"> PAGEREF _Toc522809773 \h </w:instrText>
            </w:r>
            <w:r w:rsidR="002017B2">
              <w:rPr>
                <w:noProof/>
                <w:webHidden/>
              </w:rPr>
            </w:r>
            <w:r w:rsidR="002017B2">
              <w:rPr>
                <w:noProof/>
                <w:webHidden/>
              </w:rPr>
              <w:fldChar w:fldCharType="separate"/>
            </w:r>
            <w:r w:rsidR="002017B2">
              <w:rPr>
                <w:noProof/>
                <w:webHidden/>
              </w:rPr>
              <w:t>11</w:t>
            </w:r>
            <w:r w:rsidR="002017B2">
              <w:rPr>
                <w:noProof/>
                <w:webHidden/>
              </w:rPr>
              <w:fldChar w:fldCharType="end"/>
            </w:r>
          </w:hyperlink>
        </w:p>
        <w:p w:rsidR="002017B2" w:rsidRDefault="004C1C0D">
          <w:pPr>
            <w:pStyle w:val="TDC2"/>
            <w:rPr>
              <w:noProof/>
              <w:sz w:val="22"/>
              <w:szCs w:val="22"/>
              <w:lang w:val="es-MX" w:eastAsia="es-MX"/>
            </w:rPr>
          </w:pPr>
          <w:hyperlink w:anchor="_Toc522809774" w:history="1">
            <w:r w:rsidR="002017B2" w:rsidRPr="005E2F1B">
              <w:rPr>
                <w:rStyle w:val="Hipervnculo"/>
                <w:rFonts w:ascii="Palatino Linotype" w:eastAsia="MS Gothic" w:hAnsi="Palatino Linotype" w:cs="Times New Roman"/>
                <w:b/>
                <w:noProof/>
              </w:rPr>
              <w:t>PRIMERO. De la competencia.</w:t>
            </w:r>
            <w:r w:rsidR="002017B2">
              <w:rPr>
                <w:noProof/>
                <w:webHidden/>
              </w:rPr>
              <w:tab/>
            </w:r>
            <w:r w:rsidR="002017B2">
              <w:rPr>
                <w:noProof/>
                <w:webHidden/>
              </w:rPr>
              <w:fldChar w:fldCharType="begin"/>
            </w:r>
            <w:r w:rsidR="002017B2">
              <w:rPr>
                <w:noProof/>
                <w:webHidden/>
              </w:rPr>
              <w:instrText xml:space="preserve"> PAGEREF _Toc522809774 \h </w:instrText>
            </w:r>
            <w:r w:rsidR="002017B2">
              <w:rPr>
                <w:noProof/>
                <w:webHidden/>
              </w:rPr>
            </w:r>
            <w:r w:rsidR="002017B2">
              <w:rPr>
                <w:noProof/>
                <w:webHidden/>
              </w:rPr>
              <w:fldChar w:fldCharType="separate"/>
            </w:r>
            <w:r w:rsidR="002017B2">
              <w:rPr>
                <w:noProof/>
                <w:webHidden/>
              </w:rPr>
              <w:t>11</w:t>
            </w:r>
            <w:r w:rsidR="002017B2">
              <w:rPr>
                <w:noProof/>
                <w:webHidden/>
              </w:rPr>
              <w:fldChar w:fldCharType="end"/>
            </w:r>
          </w:hyperlink>
        </w:p>
        <w:p w:rsidR="002017B2" w:rsidRDefault="004C1C0D">
          <w:pPr>
            <w:pStyle w:val="TDC2"/>
            <w:rPr>
              <w:noProof/>
              <w:sz w:val="22"/>
              <w:szCs w:val="22"/>
              <w:lang w:val="es-MX" w:eastAsia="es-MX"/>
            </w:rPr>
          </w:pPr>
          <w:hyperlink w:anchor="_Toc522809775" w:history="1">
            <w:r w:rsidR="002017B2" w:rsidRPr="005E2F1B">
              <w:rPr>
                <w:rStyle w:val="Hipervnculo"/>
                <w:rFonts w:ascii="Palatino Linotype" w:eastAsia="MS Gothic" w:hAnsi="Palatino Linotype" w:cs="Times New Roman"/>
                <w:b/>
                <w:noProof/>
              </w:rPr>
              <w:t>SEGUNDO. De la oportunidad y procedencia.</w:t>
            </w:r>
            <w:r w:rsidR="002017B2">
              <w:rPr>
                <w:noProof/>
                <w:webHidden/>
              </w:rPr>
              <w:tab/>
            </w:r>
            <w:r w:rsidR="002017B2">
              <w:rPr>
                <w:noProof/>
                <w:webHidden/>
              </w:rPr>
              <w:fldChar w:fldCharType="begin"/>
            </w:r>
            <w:r w:rsidR="002017B2">
              <w:rPr>
                <w:noProof/>
                <w:webHidden/>
              </w:rPr>
              <w:instrText xml:space="preserve"> PAGEREF _Toc522809775 \h </w:instrText>
            </w:r>
            <w:r w:rsidR="002017B2">
              <w:rPr>
                <w:noProof/>
                <w:webHidden/>
              </w:rPr>
            </w:r>
            <w:r w:rsidR="002017B2">
              <w:rPr>
                <w:noProof/>
                <w:webHidden/>
              </w:rPr>
              <w:fldChar w:fldCharType="separate"/>
            </w:r>
            <w:r w:rsidR="002017B2">
              <w:rPr>
                <w:noProof/>
                <w:webHidden/>
              </w:rPr>
              <w:t>12</w:t>
            </w:r>
            <w:r w:rsidR="002017B2">
              <w:rPr>
                <w:noProof/>
                <w:webHidden/>
              </w:rPr>
              <w:fldChar w:fldCharType="end"/>
            </w:r>
          </w:hyperlink>
        </w:p>
        <w:p w:rsidR="002017B2" w:rsidRDefault="004C1C0D">
          <w:pPr>
            <w:pStyle w:val="TDC2"/>
            <w:rPr>
              <w:noProof/>
              <w:sz w:val="22"/>
              <w:szCs w:val="22"/>
              <w:lang w:val="es-MX" w:eastAsia="es-MX"/>
            </w:rPr>
          </w:pPr>
          <w:hyperlink w:anchor="_Toc522809776" w:history="1">
            <w:r w:rsidR="002017B2" w:rsidRPr="005E2F1B">
              <w:rPr>
                <w:rStyle w:val="Hipervnculo"/>
                <w:rFonts w:ascii="Palatino Linotype" w:eastAsia="MS Gothic" w:hAnsi="Palatino Linotype" w:cs="Times New Roman"/>
                <w:b/>
                <w:noProof/>
              </w:rPr>
              <w:t>TERCERO</w:t>
            </w:r>
            <w:r w:rsidR="002017B2" w:rsidRPr="005E2F1B">
              <w:rPr>
                <w:rStyle w:val="Hipervnculo"/>
                <w:rFonts w:ascii="Palatino Linotype" w:eastAsia="MS Mincho" w:hAnsi="Palatino Linotype" w:cstheme="majorBidi"/>
                <w:b/>
                <w:noProof/>
              </w:rPr>
              <w:t>. Del planteamiento de la Litis.</w:t>
            </w:r>
            <w:r w:rsidR="002017B2">
              <w:rPr>
                <w:noProof/>
                <w:webHidden/>
              </w:rPr>
              <w:tab/>
            </w:r>
            <w:r w:rsidR="002017B2">
              <w:rPr>
                <w:noProof/>
                <w:webHidden/>
              </w:rPr>
              <w:fldChar w:fldCharType="begin"/>
            </w:r>
            <w:r w:rsidR="002017B2">
              <w:rPr>
                <w:noProof/>
                <w:webHidden/>
              </w:rPr>
              <w:instrText xml:space="preserve"> PAGEREF _Toc522809776 \h </w:instrText>
            </w:r>
            <w:r w:rsidR="002017B2">
              <w:rPr>
                <w:noProof/>
                <w:webHidden/>
              </w:rPr>
            </w:r>
            <w:r w:rsidR="002017B2">
              <w:rPr>
                <w:noProof/>
                <w:webHidden/>
              </w:rPr>
              <w:fldChar w:fldCharType="separate"/>
            </w:r>
            <w:r w:rsidR="002017B2">
              <w:rPr>
                <w:noProof/>
                <w:webHidden/>
              </w:rPr>
              <w:t>13</w:t>
            </w:r>
            <w:r w:rsidR="002017B2">
              <w:rPr>
                <w:noProof/>
                <w:webHidden/>
              </w:rPr>
              <w:fldChar w:fldCharType="end"/>
            </w:r>
          </w:hyperlink>
        </w:p>
        <w:p w:rsidR="002017B2" w:rsidRDefault="004C1C0D">
          <w:pPr>
            <w:pStyle w:val="TDC2"/>
            <w:rPr>
              <w:noProof/>
              <w:sz w:val="22"/>
              <w:szCs w:val="22"/>
              <w:lang w:val="es-MX" w:eastAsia="es-MX"/>
            </w:rPr>
          </w:pPr>
          <w:hyperlink w:anchor="_Toc522809777" w:history="1">
            <w:r w:rsidR="002017B2" w:rsidRPr="005E2F1B">
              <w:rPr>
                <w:rStyle w:val="Hipervnculo"/>
                <w:rFonts w:ascii="Palatino Linotype" w:eastAsia="MS Gothic" w:hAnsi="Palatino Linotype" w:cs="Times New Roman"/>
                <w:b/>
                <w:noProof/>
              </w:rPr>
              <w:t>CUARTO</w:t>
            </w:r>
            <w:r w:rsidR="002017B2" w:rsidRPr="005E2F1B">
              <w:rPr>
                <w:rStyle w:val="Hipervnculo"/>
                <w:rFonts w:ascii="Palatino Linotype" w:eastAsia="MS Mincho" w:hAnsi="Palatino Linotype" w:cstheme="majorBidi"/>
                <w:b/>
                <w:noProof/>
              </w:rPr>
              <w:t>. Del estudio y resolución del recurso de revisión.</w:t>
            </w:r>
            <w:r w:rsidR="002017B2">
              <w:rPr>
                <w:noProof/>
                <w:webHidden/>
              </w:rPr>
              <w:tab/>
            </w:r>
            <w:r w:rsidR="002017B2">
              <w:rPr>
                <w:noProof/>
                <w:webHidden/>
              </w:rPr>
              <w:fldChar w:fldCharType="begin"/>
            </w:r>
            <w:r w:rsidR="002017B2">
              <w:rPr>
                <w:noProof/>
                <w:webHidden/>
              </w:rPr>
              <w:instrText xml:space="preserve"> PAGEREF _Toc522809777 \h </w:instrText>
            </w:r>
            <w:r w:rsidR="002017B2">
              <w:rPr>
                <w:noProof/>
                <w:webHidden/>
              </w:rPr>
            </w:r>
            <w:r w:rsidR="002017B2">
              <w:rPr>
                <w:noProof/>
                <w:webHidden/>
              </w:rPr>
              <w:fldChar w:fldCharType="separate"/>
            </w:r>
            <w:r w:rsidR="002017B2">
              <w:rPr>
                <w:noProof/>
                <w:webHidden/>
              </w:rPr>
              <w:t>16</w:t>
            </w:r>
            <w:r w:rsidR="002017B2">
              <w:rPr>
                <w:noProof/>
                <w:webHidden/>
              </w:rPr>
              <w:fldChar w:fldCharType="end"/>
            </w:r>
          </w:hyperlink>
        </w:p>
        <w:p w:rsidR="002017B2" w:rsidRDefault="004C1C0D">
          <w:pPr>
            <w:pStyle w:val="TDC2"/>
            <w:rPr>
              <w:noProof/>
              <w:sz w:val="22"/>
              <w:szCs w:val="22"/>
              <w:lang w:val="es-MX" w:eastAsia="es-MX"/>
            </w:rPr>
          </w:pPr>
          <w:hyperlink w:anchor="_Toc522809778" w:history="1">
            <w:r w:rsidR="002017B2" w:rsidRPr="005E2F1B">
              <w:rPr>
                <w:rStyle w:val="Hipervnculo"/>
                <w:rFonts w:ascii="Palatino Linotype" w:hAnsi="Palatino Linotype"/>
                <w:b/>
                <w:noProof/>
              </w:rPr>
              <w:t>QUINTO. De la versión pública.</w:t>
            </w:r>
            <w:r w:rsidR="002017B2">
              <w:rPr>
                <w:noProof/>
                <w:webHidden/>
              </w:rPr>
              <w:tab/>
            </w:r>
            <w:r w:rsidR="002017B2">
              <w:rPr>
                <w:noProof/>
                <w:webHidden/>
              </w:rPr>
              <w:fldChar w:fldCharType="begin"/>
            </w:r>
            <w:r w:rsidR="002017B2">
              <w:rPr>
                <w:noProof/>
                <w:webHidden/>
              </w:rPr>
              <w:instrText xml:space="preserve"> PAGEREF _Toc522809778 \h </w:instrText>
            </w:r>
            <w:r w:rsidR="002017B2">
              <w:rPr>
                <w:noProof/>
                <w:webHidden/>
              </w:rPr>
            </w:r>
            <w:r w:rsidR="002017B2">
              <w:rPr>
                <w:noProof/>
                <w:webHidden/>
              </w:rPr>
              <w:fldChar w:fldCharType="separate"/>
            </w:r>
            <w:r w:rsidR="002017B2">
              <w:rPr>
                <w:noProof/>
                <w:webHidden/>
              </w:rPr>
              <w:t>35</w:t>
            </w:r>
            <w:r w:rsidR="002017B2">
              <w:rPr>
                <w:noProof/>
                <w:webHidden/>
              </w:rPr>
              <w:fldChar w:fldCharType="end"/>
            </w:r>
          </w:hyperlink>
        </w:p>
        <w:p w:rsidR="002017B2" w:rsidRDefault="004C1C0D">
          <w:pPr>
            <w:pStyle w:val="TDC1"/>
            <w:rPr>
              <w:noProof/>
              <w:sz w:val="22"/>
              <w:szCs w:val="22"/>
              <w:lang w:val="es-MX" w:eastAsia="es-MX"/>
            </w:rPr>
          </w:pPr>
          <w:hyperlink w:anchor="_Toc522809779" w:history="1">
            <w:r w:rsidR="002017B2" w:rsidRPr="005E2F1B">
              <w:rPr>
                <w:rStyle w:val="Hipervnculo"/>
                <w:rFonts w:ascii="Palatino Linotype" w:eastAsia="Times New Roman" w:hAnsi="Palatino Linotype" w:cstheme="majorBidi"/>
                <w:b/>
                <w:noProof/>
              </w:rPr>
              <w:t>R E S O L U T I V O S</w:t>
            </w:r>
            <w:r w:rsidR="002017B2">
              <w:rPr>
                <w:noProof/>
                <w:webHidden/>
              </w:rPr>
              <w:tab/>
            </w:r>
            <w:r w:rsidR="002017B2">
              <w:rPr>
                <w:noProof/>
                <w:webHidden/>
              </w:rPr>
              <w:fldChar w:fldCharType="begin"/>
            </w:r>
            <w:r w:rsidR="002017B2">
              <w:rPr>
                <w:noProof/>
                <w:webHidden/>
              </w:rPr>
              <w:instrText xml:space="preserve"> PAGEREF _Toc522809779 \h </w:instrText>
            </w:r>
            <w:r w:rsidR="002017B2">
              <w:rPr>
                <w:noProof/>
                <w:webHidden/>
              </w:rPr>
            </w:r>
            <w:r w:rsidR="002017B2">
              <w:rPr>
                <w:noProof/>
                <w:webHidden/>
              </w:rPr>
              <w:fldChar w:fldCharType="separate"/>
            </w:r>
            <w:r w:rsidR="002017B2">
              <w:rPr>
                <w:noProof/>
                <w:webHidden/>
              </w:rPr>
              <w:t>48</w:t>
            </w:r>
            <w:r w:rsidR="002017B2">
              <w:rPr>
                <w:noProof/>
                <w:webHidden/>
              </w:rPr>
              <w:fldChar w:fldCharType="end"/>
            </w:r>
          </w:hyperlink>
        </w:p>
        <w:p w:rsidR="00AD710D" w:rsidRPr="00C32E86" w:rsidRDefault="00AD710D" w:rsidP="00AD710D">
          <w:pPr>
            <w:spacing w:line="480" w:lineRule="auto"/>
            <w:rPr>
              <w:rFonts w:ascii="Palatino Linotype" w:hAnsi="Palatino Linotype"/>
            </w:rPr>
          </w:pPr>
          <w:r w:rsidRPr="00C32E86">
            <w:rPr>
              <w:rFonts w:ascii="Palatino Linotype" w:hAnsi="Palatino Linotype"/>
              <w:b/>
              <w:bCs/>
              <w:lang w:val="es-ES"/>
            </w:rPr>
            <w:fldChar w:fldCharType="end"/>
          </w:r>
        </w:p>
      </w:sdtContent>
    </w:sdt>
    <w:p w:rsidR="002017B2" w:rsidRDefault="002017B2" w:rsidP="00792776">
      <w:pPr>
        <w:spacing w:before="240" w:after="240" w:line="360" w:lineRule="auto"/>
        <w:jc w:val="both"/>
        <w:rPr>
          <w:rFonts w:ascii="Palatino Linotype" w:eastAsia="MS Mincho" w:hAnsi="Palatino Linotype" w:cs="Times New Roman"/>
          <w:sz w:val="24"/>
          <w:szCs w:val="24"/>
          <w:lang w:val="es-ES_tradnl" w:eastAsia="es-ES"/>
        </w:rPr>
      </w:pPr>
    </w:p>
    <w:p w:rsidR="00792776" w:rsidRPr="00BA1B55" w:rsidRDefault="00792776" w:rsidP="00792776">
      <w:pPr>
        <w:spacing w:before="240" w:after="240" w:line="360" w:lineRule="auto"/>
        <w:jc w:val="both"/>
        <w:rPr>
          <w:rFonts w:ascii="Palatino Linotype" w:eastAsia="MS Mincho" w:hAnsi="Palatino Linotype" w:cs="Times New Roman"/>
          <w:sz w:val="24"/>
          <w:szCs w:val="24"/>
          <w:lang w:val="es-ES_tradnl" w:eastAsia="es-ES"/>
        </w:rPr>
      </w:pPr>
      <w:r w:rsidRPr="00BA1B55">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2017B2">
        <w:rPr>
          <w:rFonts w:ascii="Palatino Linotype" w:eastAsia="MS Mincho" w:hAnsi="Palatino Linotype" w:cs="Times New Roman"/>
          <w:sz w:val="24"/>
          <w:szCs w:val="24"/>
          <w:lang w:val="es-ES_tradnl" w:eastAsia="es-ES"/>
        </w:rPr>
        <w:t>veintidós</w:t>
      </w:r>
      <w:r w:rsidR="004E1423">
        <w:rPr>
          <w:rFonts w:ascii="Palatino Linotype" w:eastAsia="MS Mincho" w:hAnsi="Palatino Linotype" w:cs="Times New Roman"/>
          <w:sz w:val="24"/>
          <w:szCs w:val="24"/>
          <w:lang w:val="es-ES_tradnl" w:eastAsia="es-ES"/>
        </w:rPr>
        <w:t xml:space="preserve"> (</w:t>
      </w:r>
      <w:r w:rsidR="002017B2">
        <w:rPr>
          <w:rFonts w:ascii="Palatino Linotype" w:eastAsia="MS Mincho" w:hAnsi="Palatino Linotype" w:cs="Times New Roman"/>
          <w:sz w:val="24"/>
          <w:szCs w:val="24"/>
          <w:lang w:val="es-ES_tradnl" w:eastAsia="es-ES"/>
        </w:rPr>
        <w:t>22</w:t>
      </w:r>
      <w:r w:rsidR="004E1423">
        <w:rPr>
          <w:rFonts w:ascii="Palatino Linotype" w:eastAsia="MS Mincho" w:hAnsi="Palatino Linotype" w:cs="Times New Roman"/>
          <w:sz w:val="24"/>
          <w:szCs w:val="24"/>
          <w:lang w:val="es-ES_tradnl" w:eastAsia="es-ES"/>
        </w:rPr>
        <w:t>) de agosto</w:t>
      </w:r>
      <w:r w:rsidR="00060734" w:rsidRPr="00BA1B55">
        <w:rPr>
          <w:rFonts w:ascii="Palatino Linotype" w:eastAsia="MS Mincho" w:hAnsi="Palatino Linotype" w:cs="Times New Roman"/>
          <w:sz w:val="24"/>
          <w:szCs w:val="24"/>
          <w:lang w:val="es-ES_tradnl" w:eastAsia="es-ES"/>
        </w:rPr>
        <w:t xml:space="preserve"> de </w:t>
      </w:r>
      <w:r w:rsidR="002017B2">
        <w:rPr>
          <w:rFonts w:ascii="Palatino Linotype" w:eastAsia="MS Mincho" w:hAnsi="Palatino Linotype" w:cs="Times New Roman"/>
          <w:sz w:val="24"/>
          <w:szCs w:val="24"/>
          <w:lang w:val="es-ES_tradnl" w:eastAsia="es-ES"/>
        </w:rPr>
        <w:t>dos mil dieciocho</w:t>
      </w:r>
      <w:r w:rsidR="00CA55D0" w:rsidRPr="00BA1B55">
        <w:rPr>
          <w:rFonts w:ascii="Palatino Linotype" w:eastAsia="MS Mincho" w:hAnsi="Palatino Linotype" w:cs="Times New Roman"/>
          <w:sz w:val="24"/>
          <w:szCs w:val="24"/>
          <w:lang w:val="es-ES_tradnl" w:eastAsia="es-ES"/>
        </w:rPr>
        <w:t>.</w:t>
      </w:r>
    </w:p>
    <w:p w:rsidR="00792776" w:rsidRPr="00115B9B" w:rsidRDefault="00792776" w:rsidP="00792776">
      <w:pPr>
        <w:spacing w:before="240" w:after="360" w:line="360" w:lineRule="auto"/>
        <w:jc w:val="both"/>
        <w:rPr>
          <w:rFonts w:ascii="Palatino Linotype" w:hAnsi="Palatino Linotype"/>
          <w:b/>
          <w:sz w:val="24"/>
          <w:szCs w:val="24"/>
        </w:rPr>
      </w:pPr>
      <w:r w:rsidRPr="00BA1B55">
        <w:rPr>
          <w:rFonts w:ascii="Palatino Linotype" w:eastAsia="MS Mincho" w:hAnsi="Palatino Linotype" w:cs="Times New Roman"/>
          <w:b/>
          <w:sz w:val="24"/>
          <w:szCs w:val="24"/>
          <w:lang w:val="es-ES_tradnl" w:eastAsia="es-ES"/>
        </w:rPr>
        <w:t>VISTO</w:t>
      </w:r>
      <w:r w:rsidRPr="00BA1B55">
        <w:rPr>
          <w:rFonts w:ascii="Palatino Linotype" w:eastAsia="MS Mincho" w:hAnsi="Palatino Linotype" w:cs="Times New Roman"/>
          <w:sz w:val="24"/>
          <w:szCs w:val="24"/>
          <w:lang w:val="es-ES_tradnl" w:eastAsia="es-ES"/>
        </w:rPr>
        <w:t xml:space="preserve"> el expediente electrónico formado con motivo del recurso de revisión</w:t>
      </w:r>
      <w:r w:rsidRPr="00BA1B55">
        <w:rPr>
          <w:rFonts w:ascii="Palatino Linotype" w:eastAsia="MS Mincho" w:hAnsi="Palatino Linotype" w:cs="Arial"/>
          <w:b/>
          <w:bCs/>
          <w:sz w:val="24"/>
          <w:szCs w:val="24"/>
          <w:lang w:val="es-ES_tradnl" w:eastAsia="es-ES"/>
        </w:rPr>
        <w:t xml:space="preserve">, </w:t>
      </w:r>
      <w:r w:rsidR="00202E6A" w:rsidRPr="00BA1B55">
        <w:rPr>
          <w:rFonts w:ascii="Palatino Linotype" w:eastAsia="MS Mincho" w:hAnsi="Palatino Linotype" w:cs="Arial"/>
          <w:b/>
          <w:bCs/>
          <w:sz w:val="24"/>
          <w:szCs w:val="24"/>
          <w:lang w:val="es-ES_tradnl" w:eastAsia="es-ES"/>
        </w:rPr>
        <w:t>0</w:t>
      </w:r>
      <w:r w:rsidR="0085685B">
        <w:rPr>
          <w:rFonts w:ascii="Palatino Linotype" w:eastAsia="MS Mincho" w:hAnsi="Palatino Linotype" w:cs="Arial"/>
          <w:b/>
          <w:bCs/>
          <w:sz w:val="24"/>
          <w:szCs w:val="24"/>
          <w:lang w:val="es-ES_tradnl" w:eastAsia="es-ES"/>
        </w:rPr>
        <w:t>2398</w:t>
      </w:r>
      <w:r w:rsidRPr="00BA1B55">
        <w:rPr>
          <w:rFonts w:ascii="Palatino Linotype" w:eastAsia="MS Mincho" w:hAnsi="Palatino Linotype" w:cs="Arial"/>
          <w:b/>
          <w:bCs/>
          <w:sz w:val="24"/>
          <w:szCs w:val="24"/>
          <w:lang w:val="es-ES_tradnl" w:eastAsia="es-ES"/>
        </w:rPr>
        <w:t>/INFOEM/IP/RR/201</w:t>
      </w:r>
      <w:r w:rsidR="00767A0C" w:rsidRPr="00BA1B55">
        <w:rPr>
          <w:rFonts w:ascii="Palatino Linotype" w:eastAsia="MS Mincho" w:hAnsi="Palatino Linotype" w:cs="Arial"/>
          <w:b/>
          <w:bCs/>
          <w:sz w:val="24"/>
          <w:szCs w:val="24"/>
          <w:lang w:val="es-ES_tradnl" w:eastAsia="es-ES"/>
        </w:rPr>
        <w:t>8</w:t>
      </w:r>
      <w:r w:rsidR="0085685B">
        <w:rPr>
          <w:rFonts w:ascii="Palatino Linotype" w:eastAsia="MS Mincho" w:hAnsi="Palatino Linotype" w:cs="Arial"/>
          <w:b/>
          <w:bCs/>
          <w:sz w:val="24"/>
          <w:szCs w:val="24"/>
          <w:lang w:val="es-ES_tradnl" w:eastAsia="es-ES"/>
        </w:rPr>
        <w:t xml:space="preserve"> y 2399</w:t>
      </w:r>
      <w:r w:rsidR="00CA5F98" w:rsidRPr="00BA1B55">
        <w:rPr>
          <w:rFonts w:ascii="Palatino Linotype" w:eastAsia="MS Mincho" w:hAnsi="Palatino Linotype" w:cs="Arial"/>
          <w:b/>
          <w:bCs/>
          <w:sz w:val="24"/>
          <w:szCs w:val="24"/>
          <w:lang w:val="es-ES_tradnl" w:eastAsia="es-ES"/>
        </w:rPr>
        <w:t xml:space="preserve">/INFOEM/IP/RR/2018 </w:t>
      </w:r>
      <w:r w:rsidRPr="00BA1B55">
        <w:rPr>
          <w:rFonts w:ascii="Palatino Linotype" w:eastAsia="MS Mincho" w:hAnsi="Palatino Linotype" w:cs="Arial"/>
          <w:b/>
          <w:bCs/>
          <w:sz w:val="24"/>
          <w:szCs w:val="24"/>
          <w:lang w:val="es-ES_tradnl" w:eastAsia="es-ES"/>
        </w:rPr>
        <w:t xml:space="preserve"> </w:t>
      </w:r>
      <w:r w:rsidRPr="00BA1B55">
        <w:rPr>
          <w:rFonts w:ascii="Palatino Linotype" w:eastAsia="MS Mincho" w:hAnsi="Palatino Linotype" w:cs="Times New Roman"/>
          <w:sz w:val="24"/>
          <w:szCs w:val="24"/>
          <w:lang w:val="es-ES_tradnl" w:eastAsia="es-ES"/>
        </w:rPr>
        <w:t>promovido por</w:t>
      </w:r>
      <w:r w:rsidR="00767A0C" w:rsidRPr="00BA1B55">
        <w:rPr>
          <w:rFonts w:ascii="Palatino Linotype" w:hAnsi="Palatino Linotype"/>
          <w:b/>
          <w:sz w:val="24"/>
          <w:szCs w:val="24"/>
        </w:rPr>
        <w:t xml:space="preserve"> </w:t>
      </w:r>
      <w:r w:rsidR="00667FDC" w:rsidRPr="00667FDC">
        <w:rPr>
          <w:rFonts w:ascii="Palatino Linotype" w:hAnsi="Palatino Linotype"/>
          <w:b/>
          <w:sz w:val="24"/>
          <w:szCs w:val="24"/>
          <w:highlight w:val="black"/>
        </w:rPr>
        <w:t>----------------------</w:t>
      </w:r>
      <w:r w:rsidRPr="00BA1B55">
        <w:rPr>
          <w:rFonts w:ascii="Palatino Linotype" w:eastAsia="MS Mincho" w:hAnsi="Palatino Linotype" w:cs="Times New Roman"/>
          <w:b/>
          <w:sz w:val="24"/>
          <w:szCs w:val="24"/>
          <w:lang w:val="es-ES_tradnl" w:eastAsia="es-ES"/>
        </w:rPr>
        <w:t>,</w:t>
      </w:r>
      <w:r w:rsidR="00CA5F98">
        <w:rPr>
          <w:rFonts w:ascii="Palatino Linotype" w:eastAsia="MS Mincho" w:hAnsi="Palatino Linotype" w:cs="Times New Roman"/>
          <w:b/>
          <w:sz w:val="24"/>
          <w:szCs w:val="24"/>
          <w:lang w:val="es-ES_tradnl" w:eastAsia="es-ES"/>
        </w:rPr>
        <w:t xml:space="preserve"> </w:t>
      </w:r>
      <w:r w:rsidRPr="00BA1B55">
        <w:rPr>
          <w:rFonts w:ascii="Palatino Linotype" w:eastAsia="MS Mincho" w:hAnsi="Palatino Linotype" w:cs="Arial"/>
          <w:sz w:val="24"/>
          <w:szCs w:val="24"/>
          <w:lang w:val="es-ES_tradnl" w:eastAsia="es-ES"/>
        </w:rPr>
        <w:t xml:space="preserve">en su calidad de </w:t>
      </w:r>
      <w:r w:rsidRPr="00BA1B55">
        <w:rPr>
          <w:rFonts w:ascii="Palatino Linotype" w:eastAsia="MS Mincho" w:hAnsi="Palatino Linotype" w:cs="Arial"/>
          <w:b/>
          <w:sz w:val="24"/>
          <w:szCs w:val="24"/>
          <w:lang w:val="es-ES_tradnl" w:eastAsia="es-ES"/>
        </w:rPr>
        <w:t>RECURRENTE</w:t>
      </w:r>
      <w:r w:rsidR="00060734" w:rsidRPr="00BA1B55">
        <w:rPr>
          <w:rFonts w:ascii="Palatino Linotype" w:eastAsia="MS Mincho" w:hAnsi="Palatino Linotype" w:cs="Arial"/>
          <w:sz w:val="24"/>
          <w:szCs w:val="24"/>
          <w:lang w:val="es-ES_tradnl" w:eastAsia="es-ES"/>
        </w:rPr>
        <w:t xml:space="preserve">, en contra de la </w:t>
      </w:r>
      <w:r w:rsidRPr="00BA1B55">
        <w:rPr>
          <w:rFonts w:ascii="Palatino Linotype" w:eastAsia="MS Mincho" w:hAnsi="Palatino Linotype" w:cs="Arial"/>
          <w:sz w:val="24"/>
          <w:szCs w:val="24"/>
          <w:lang w:val="es-ES_tradnl" w:eastAsia="es-ES"/>
        </w:rPr>
        <w:t xml:space="preserve">respuesta del </w:t>
      </w:r>
      <w:r w:rsidR="00C43D39" w:rsidRPr="00C43D39">
        <w:rPr>
          <w:rFonts w:ascii="Palatino Linotype" w:hAnsi="Palatino Linotype"/>
          <w:b/>
          <w:sz w:val="24"/>
          <w:szCs w:val="24"/>
        </w:rPr>
        <w:t>Fiscalía General de Justicia del Estado de México</w:t>
      </w:r>
      <w:r w:rsidRPr="00BA1B55">
        <w:rPr>
          <w:rFonts w:ascii="Palatino Linotype" w:eastAsia="MS Mincho" w:hAnsi="Palatino Linotype" w:cs="Arial"/>
          <w:b/>
          <w:sz w:val="24"/>
          <w:szCs w:val="24"/>
          <w:lang w:val="es-ES_tradnl" w:eastAsia="es-ES"/>
        </w:rPr>
        <w:t>,</w:t>
      </w:r>
      <w:r w:rsidRPr="00BA1B55">
        <w:rPr>
          <w:rFonts w:ascii="Palatino Linotype" w:eastAsia="MS Mincho" w:hAnsi="Palatino Linotype" w:cs="Times New Roman"/>
          <w:b/>
          <w:sz w:val="24"/>
          <w:szCs w:val="24"/>
          <w:lang w:val="es-ES_tradnl" w:eastAsia="es-ES"/>
        </w:rPr>
        <w:t xml:space="preserve"> </w:t>
      </w:r>
      <w:r w:rsidRPr="00BA1B55">
        <w:rPr>
          <w:rFonts w:ascii="Palatino Linotype" w:eastAsia="MS Mincho" w:hAnsi="Palatino Linotype" w:cs="Times New Roman"/>
          <w:sz w:val="24"/>
          <w:szCs w:val="24"/>
          <w:lang w:val="es-ES_tradnl" w:eastAsia="es-ES"/>
        </w:rPr>
        <w:t>en lo sucesivo el</w:t>
      </w:r>
      <w:r w:rsidRPr="00BA1B55">
        <w:rPr>
          <w:rFonts w:ascii="Palatino Linotype" w:eastAsia="MS Mincho" w:hAnsi="Palatino Linotype" w:cs="Times New Roman"/>
          <w:b/>
          <w:sz w:val="24"/>
          <w:szCs w:val="24"/>
          <w:lang w:val="es-ES_tradnl" w:eastAsia="es-ES"/>
        </w:rPr>
        <w:t xml:space="preserve"> SUJETO OBLIGADO, </w:t>
      </w:r>
      <w:r w:rsidRPr="00BA1B55">
        <w:rPr>
          <w:rFonts w:ascii="Palatino Linotype" w:eastAsia="MS Mincho" w:hAnsi="Palatino Linotype" w:cs="Times New Roman"/>
          <w:sz w:val="24"/>
          <w:szCs w:val="24"/>
          <w:lang w:val="es-ES_tradnl" w:eastAsia="es-ES"/>
        </w:rPr>
        <w:t>se procede a dictar la presente resolución, con base en los siguientes:</w:t>
      </w:r>
    </w:p>
    <w:p w:rsidR="00792776" w:rsidRPr="00792776" w:rsidRDefault="00792776" w:rsidP="00792776">
      <w:pPr>
        <w:keepNext/>
        <w:keepLines/>
        <w:spacing w:before="240" w:after="0"/>
        <w:jc w:val="center"/>
        <w:outlineLvl w:val="0"/>
        <w:rPr>
          <w:rFonts w:ascii="Palatino Linotype" w:eastAsia="MS Gothic" w:hAnsi="Palatino Linotype" w:cs="Times New Roman"/>
          <w:b/>
          <w:sz w:val="24"/>
          <w:szCs w:val="32"/>
        </w:rPr>
      </w:pPr>
      <w:bookmarkStart w:id="0" w:name="_Toc494219911"/>
      <w:bookmarkStart w:id="1" w:name="_Toc522809770"/>
      <w:r w:rsidRPr="00792776">
        <w:rPr>
          <w:rFonts w:ascii="Palatino Linotype" w:eastAsia="MS Gothic" w:hAnsi="Palatino Linotype" w:cs="Times New Roman"/>
          <w:b/>
          <w:sz w:val="24"/>
          <w:szCs w:val="32"/>
        </w:rPr>
        <w:t>A N T E C E D E N T E S</w:t>
      </w:r>
      <w:bookmarkEnd w:id="0"/>
      <w:bookmarkEnd w:id="1"/>
    </w:p>
    <w:p w:rsidR="00792776" w:rsidRPr="00792776" w:rsidRDefault="00792776" w:rsidP="0019604C"/>
    <w:p w:rsidR="00771A16" w:rsidRPr="00BF05B0" w:rsidRDefault="00792776" w:rsidP="00771A16">
      <w:pPr>
        <w:numPr>
          <w:ilvl w:val="0"/>
          <w:numId w:val="2"/>
        </w:numPr>
        <w:spacing w:before="240" w:after="240" w:line="360" w:lineRule="auto"/>
        <w:ind w:left="426" w:hanging="426"/>
        <w:contextualSpacing/>
        <w:jc w:val="both"/>
        <w:rPr>
          <w:rFonts w:ascii="Palatino Linotype" w:hAnsi="Palatino Linotype"/>
          <w:i/>
          <w:color w:val="000000"/>
          <w:sz w:val="24"/>
          <w:szCs w:val="24"/>
        </w:rPr>
      </w:pPr>
      <w:r w:rsidRPr="00BA1B55">
        <w:rPr>
          <w:rFonts w:ascii="Palatino Linotype" w:eastAsia="Calibri" w:hAnsi="Palatino Linotype" w:cs="Arial"/>
          <w:sz w:val="24"/>
          <w:szCs w:val="24"/>
          <w:lang w:val="es-ES" w:eastAsia="es-ES"/>
        </w:rPr>
        <w:t xml:space="preserve">El día </w:t>
      </w:r>
      <w:r w:rsidR="00755747">
        <w:rPr>
          <w:rFonts w:ascii="Palatino Linotype" w:eastAsia="Times New Roman" w:hAnsi="Palatino Linotype" w:cs="Arial"/>
          <w:sz w:val="24"/>
          <w:szCs w:val="24"/>
          <w:lang w:val="es-ES" w:eastAsia="es-ES"/>
        </w:rPr>
        <w:t>cinco (05) de junio</w:t>
      </w:r>
      <w:r w:rsidR="003F5243">
        <w:rPr>
          <w:rFonts w:ascii="Palatino Linotype" w:eastAsia="Times New Roman" w:hAnsi="Palatino Linotype" w:cs="Arial"/>
          <w:sz w:val="24"/>
          <w:szCs w:val="24"/>
          <w:lang w:val="es-ES" w:eastAsia="es-ES"/>
        </w:rPr>
        <w:t xml:space="preserve"> de dos mil dieciocho</w:t>
      </w:r>
      <w:r w:rsidRPr="00BA1B55">
        <w:rPr>
          <w:rFonts w:ascii="Palatino Linotype" w:eastAsia="Calibri" w:hAnsi="Palatino Linotype" w:cs="Arial"/>
          <w:sz w:val="24"/>
          <w:szCs w:val="24"/>
          <w:lang w:val="es-ES" w:eastAsia="es-ES"/>
        </w:rPr>
        <w:t>,</w:t>
      </w:r>
      <w:r w:rsidRPr="00BA1B55">
        <w:rPr>
          <w:rFonts w:ascii="Palatino Linotype" w:eastAsia="Calibri" w:hAnsi="Palatino Linotype" w:cs="Times New Roman"/>
          <w:sz w:val="24"/>
          <w:szCs w:val="24"/>
          <w:lang w:val="es-ES" w:eastAsia="es-ES"/>
        </w:rPr>
        <w:t xml:space="preserve"> se presentó </w:t>
      </w:r>
      <w:r w:rsidRPr="00BA1B55">
        <w:rPr>
          <w:rFonts w:ascii="Palatino Linotype" w:eastAsia="Calibri" w:hAnsi="Palatino Linotype" w:cs="Arial"/>
          <w:sz w:val="24"/>
          <w:szCs w:val="24"/>
          <w:lang w:val="es-ES" w:eastAsia="es-ES"/>
        </w:rPr>
        <w:t xml:space="preserve">ante el </w:t>
      </w:r>
      <w:r w:rsidRPr="00BA1B55">
        <w:rPr>
          <w:rFonts w:ascii="Palatino Linotype" w:eastAsia="Calibri" w:hAnsi="Palatino Linotype" w:cs="Arial"/>
          <w:b/>
          <w:sz w:val="24"/>
          <w:szCs w:val="24"/>
          <w:lang w:val="es-ES" w:eastAsia="es-ES"/>
        </w:rPr>
        <w:t>SUJETO OBLIGADO</w:t>
      </w:r>
      <w:r w:rsidRPr="00BA1B55">
        <w:rPr>
          <w:rFonts w:ascii="Palatino Linotype" w:eastAsia="Calibri" w:hAnsi="Palatino Linotype" w:cs="Arial"/>
          <w:sz w:val="24"/>
          <w:szCs w:val="24"/>
          <w:lang w:val="es-ES_tradnl" w:eastAsia="es-ES"/>
        </w:rPr>
        <w:t xml:space="preserve"> vía </w:t>
      </w:r>
      <w:r w:rsidRPr="00BA1B55">
        <w:rPr>
          <w:rFonts w:ascii="Palatino Linotype" w:eastAsia="Calibri" w:hAnsi="Palatino Linotype" w:cs="Arial"/>
          <w:sz w:val="24"/>
          <w:szCs w:val="24"/>
          <w:lang w:val="es-ES" w:eastAsia="es-ES"/>
        </w:rPr>
        <w:t xml:space="preserve">Sistema de Acceso a la Información Mexiquense </w:t>
      </w:r>
      <w:r w:rsidRPr="00BA1B55">
        <w:rPr>
          <w:rFonts w:ascii="Palatino Linotype" w:eastAsia="Calibri" w:hAnsi="Palatino Linotype" w:cs="Arial"/>
          <w:b/>
          <w:sz w:val="24"/>
          <w:szCs w:val="24"/>
          <w:lang w:val="es-ES" w:eastAsia="es-ES"/>
        </w:rPr>
        <w:t>SAIMEX</w:t>
      </w:r>
      <w:r w:rsidRPr="00BA1B55">
        <w:rPr>
          <w:rFonts w:ascii="Palatino Linotype" w:eastAsia="Calibri" w:hAnsi="Palatino Linotype" w:cs="Arial"/>
          <w:sz w:val="24"/>
          <w:szCs w:val="24"/>
          <w:lang w:val="es-ES" w:eastAsia="es-ES"/>
        </w:rPr>
        <w:t>, la</w:t>
      </w:r>
      <w:r w:rsidR="003F5243">
        <w:rPr>
          <w:rFonts w:ascii="Palatino Linotype" w:eastAsia="Calibri" w:hAnsi="Palatino Linotype" w:cs="Arial"/>
          <w:sz w:val="24"/>
          <w:szCs w:val="24"/>
          <w:lang w:val="es-ES" w:eastAsia="es-ES"/>
        </w:rPr>
        <w:t>s</w:t>
      </w:r>
      <w:r w:rsidRPr="00BA1B55">
        <w:rPr>
          <w:rFonts w:ascii="Palatino Linotype" w:eastAsia="Calibri" w:hAnsi="Palatino Linotype" w:cs="Arial"/>
          <w:sz w:val="24"/>
          <w:szCs w:val="24"/>
          <w:lang w:val="es-ES" w:eastAsia="es-ES"/>
        </w:rPr>
        <w:t xml:space="preserve"> solicitud</w:t>
      </w:r>
      <w:r w:rsidR="003F5243">
        <w:rPr>
          <w:rFonts w:ascii="Palatino Linotype" w:eastAsia="Calibri" w:hAnsi="Palatino Linotype" w:cs="Arial"/>
          <w:sz w:val="24"/>
          <w:szCs w:val="24"/>
          <w:lang w:val="es-ES" w:eastAsia="es-ES"/>
        </w:rPr>
        <w:t>es</w:t>
      </w:r>
      <w:r w:rsidRPr="00BA1B55">
        <w:rPr>
          <w:rFonts w:ascii="Palatino Linotype" w:eastAsia="Calibri" w:hAnsi="Palatino Linotype" w:cs="Arial"/>
          <w:sz w:val="24"/>
          <w:szCs w:val="24"/>
          <w:lang w:val="es-ES" w:eastAsia="es-ES"/>
        </w:rPr>
        <w:t xml:space="preserve"> de información pública registrada</w:t>
      </w:r>
      <w:r w:rsidR="003F5243">
        <w:rPr>
          <w:rFonts w:ascii="Palatino Linotype" w:eastAsia="Calibri" w:hAnsi="Palatino Linotype" w:cs="Arial"/>
          <w:sz w:val="24"/>
          <w:szCs w:val="24"/>
          <w:lang w:val="es-ES" w:eastAsia="es-ES"/>
        </w:rPr>
        <w:t>s</w:t>
      </w:r>
      <w:r w:rsidRPr="00BA1B55">
        <w:rPr>
          <w:rFonts w:ascii="Palatino Linotype" w:eastAsia="Calibri" w:hAnsi="Palatino Linotype" w:cs="Arial"/>
          <w:sz w:val="24"/>
          <w:szCs w:val="24"/>
          <w:lang w:val="es-ES" w:eastAsia="es-ES"/>
        </w:rPr>
        <w:t xml:space="preserve"> con </w:t>
      </w:r>
      <w:r w:rsidR="003F5243">
        <w:rPr>
          <w:rFonts w:ascii="Palatino Linotype" w:eastAsia="Calibri" w:hAnsi="Palatino Linotype" w:cs="Arial"/>
          <w:sz w:val="24"/>
          <w:szCs w:val="24"/>
          <w:lang w:val="es-ES" w:eastAsia="es-ES"/>
        </w:rPr>
        <w:t>los</w:t>
      </w:r>
      <w:r w:rsidRPr="00BA1B55">
        <w:rPr>
          <w:rFonts w:ascii="Palatino Linotype" w:eastAsia="Calibri" w:hAnsi="Palatino Linotype" w:cs="Arial"/>
          <w:sz w:val="24"/>
          <w:szCs w:val="24"/>
          <w:lang w:val="es-ES" w:eastAsia="es-ES"/>
        </w:rPr>
        <w:t xml:space="preserve"> núm</w:t>
      </w:r>
      <w:r w:rsidR="003F5243">
        <w:rPr>
          <w:rFonts w:ascii="Palatino Linotype" w:eastAsia="Calibri" w:hAnsi="Palatino Linotype" w:cs="Arial"/>
          <w:sz w:val="24"/>
          <w:szCs w:val="24"/>
          <w:lang w:val="es-ES" w:eastAsia="es-ES"/>
        </w:rPr>
        <w:t xml:space="preserve">eros </w:t>
      </w:r>
      <w:r w:rsidR="00755747">
        <w:rPr>
          <w:rFonts w:ascii="Palatino Linotype" w:hAnsi="Palatino Linotype" w:cs="Arial"/>
          <w:b/>
          <w:bCs/>
          <w:sz w:val="24"/>
        </w:rPr>
        <w:t>00383</w:t>
      </w:r>
      <w:r w:rsidR="00755747" w:rsidRPr="00755747">
        <w:rPr>
          <w:rFonts w:ascii="Palatino Linotype" w:hAnsi="Palatino Linotype" w:cs="Arial"/>
          <w:b/>
          <w:bCs/>
          <w:sz w:val="24"/>
        </w:rPr>
        <w:t>/FGJ/IP/2018</w:t>
      </w:r>
      <w:r w:rsidR="00755747">
        <w:rPr>
          <w:rFonts w:ascii="Palatino Linotype" w:hAnsi="Palatino Linotype" w:cs="Arial"/>
          <w:b/>
          <w:bCs/>
          <w:sz w:val="24"/>
        </w:rPr>
        <w:t xml:space="preserve"> </w:t>
      </w:r>
      <w:r w:rsidR="00755747">
        <w:rPr>
          <w:rFonts w:ascii="Palatino Linotype" w:hAnsi="Palatino Linotype" w:cs="Arial"/>
          <w:sz w:val="24"/>
        </w:rPr>
        <w:t xml:space="preserve">y </w:t>
      </w:r>
      <w:r w:rsidR="00755747" w:rsidRPr="00755747">
        <w:rPr>
          <w:rFonts w:ascii="Palatino Linotype" w:hAnsi="Palatino Linotype" w:cs="Arial"/>
          <w:b/>
          <w:bCs/>
          <w:sz w:val="24"/>
        </w:rPr>
        <w:t>00384/FGJ/IP/2018</w:t>
      </w:r>
      <w:r w:rsidR="00771A16" w:rsidRPr="00771A16">
        <w:rPr>
          <w:rFonts w:ascii="Palatino Linotype" w:hAnsi="Palatino Linotype" w:cs="Arial"/>
          <w:sz w:val="24"/>
          <w:lang w:eastAsia="es-MX"/>
        </w:rPr>
        <w:t>,</w:t>
      </w:r>
      <w:r w:rsidR="00771A16" w:rsidRPr="00771A16">
        <w:rPr>
          <w:rFonts w:ascii="Palatino Linotype" w:hAnsi="Palatino Linotype" w:cs="Arial"/>
          <w:b/>
          <w:sz w:val="24"/>
          <w:lang w:eastAsia="es-MX"/>
        </w:rPr>
        <w:t xml:space="preserve"> </w:t>
      </w:r>
      <w:r w:rsidR="00771A16" w:rsidRPr="00771A16">
        <w:rPr>
          <w:rFonts w:ascii="Palatino Linotype" w:hAnsi="Palatino Linotype" w:cs="Arial"/>
          <w:sz w:val="24"/>
        </w:rPr>
        <w:t>mediante las cuales solicitó información en el tenor siguiente:</w:t>
      </w:r>
    </w:p>
    <w:p w:rsidR="00BF05B0" w:rsidRPr="00771A16" w:rsidRDefault="00BF05B0" w:rsidP="00BF05B0">
      <w:pPr>
        <w:spacing w:before="240" w:after="240" w:line="360" w:lineRule="auto"/>
        <w:ind w:left="426"/>
        <w:contextualSpacing/>
        <w:jc w:val="both"/>
        <w:rPr>
          <w:rFonts w:ascii="Palatino Linotype" w:hAnsi="Palatino Linotype"/>
          <w:i/>
          <w:color w:val="000000"/>
          <w:sz w:val="24"/>
          <w:szCs w:val="24"/>
        </w:rPr>
      </w:pPr>
    </w:p>
    <w:p w:rsidR="00771A16" w:rsidRPr="00523CF0" w:rsidRDefault="00771A16" w:rsidP="00771A16">
      <w:pPr>
        <w:spacing w:before="240" w:line="360" w:lineRule="auto"/>
        <w:jc w:val="both"/>
        <w:rPr>
          <w:rFonts w:ascii="Palatino Linotype" w:hAnsi="Palatino Linotype" w:cs="Arial"/>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755747">
        <w:rPr>
          <w:rFonts w:ascii="Palatino Linotype" w:hAnsi="Palatino Linotype" w:cs="Arial"/>
          <w:b/>
          <w:bCs/>
          <w:sz w:val="24"/>
        </w:rPr>
        <w:t>00383</w:t>
      </w:r>
      <w:r w:rsidR="00755747" w:rsidRPr="00755747">
        <w:rPr>
          <w:rFonts w:ascii="Palatino Linotype" w:hAnsi="Palatino Linotype" w:cs="Arial"/>
          <w:b/>
          <w:bCs/>
          <w:sz w:val="24"/>
        </w:rPr>
        <w:t>/FGJ/IP/2018</w:t>
      </w:r>
    </w:p>
    <w:p w:rsidR="00771A16" w:rsidRDefault="00771A16" w:rsidP="00771A16">
      <w:pPr>
        <w:spacing w:line="360" w:lineRule="auto"/>
        <w:ind w:left="567" w:right="567"/>
        <w:jc w:val="both"/>
        <w:rPr>
          <w:rFonts w:ascii="Palatino Linotype" w:eastAsia="Times New Roman" w:hAnsi="Palatino Linotype" w:cs="Times New Roman"/>
          <w:lang w:val="es-ES_tradnl" w:eastAsia="es-ES"/>
        </w:rPr>
      </w:pPr>
      <w:r w:rsidRPr="00523CF0">
        <w:rPr>
          <w:rFonts w:ascii="Palatino Linotype" w:eastAsia="Times New Roman" w:hAnsi="Palatino Linotype" w:cs="Times New Roman"/>
          <w:i/>
          <w:lang w:val="es-ES_tradnl" w:eastAsia="es-ES"/>
        </w:rPr>
        <w:t>“</w:t>
      </w:r>
      <w:r w:rsidR="00401B46" w:rsidRPr="00401B46">
        <w:rPr>
          <w:rFonts w:ascii="Palatino Linotype" w:hAnsi="Palatino Linotype"/>
          <w:i/>
          <w:color w:val="000000"/>
        </w:rPr>
        <w:t xml:space="preserve">Cuantos números de NIC se iniciaron en los años 2016, 2017 y al 31 de mayo de 2018 por los delitos de: (Información desglosada por mes) Robo a Transporte Público Robo a transeúnte Robo a casa habitación Información correspondiente a las iniciadas en </w:t>
      </w:r>
      <w:proofErr w:type="spellStart"/>
      <w:r w:rsidR="00401B46" w:rsidRPr="00401B46">
        <w:rPr>
          <w:rFonts w:ascii="Palatino Linotype" w:hAnsi="Palatino Linotype"/>
          <w:i/>
          <w:color w:val="000000"/>
        </w:rPr>
        <w:t>Neza</w:t>
      </w:r>
      <w:proofErr w:type="spellEnd"/>
      <w:r w:rsidR="00401B46" w:rsidRPr="00401B46">
        <w:rPr>
          <w:rFonts w:ascii="Palatino Linotype" w:hAnsi="Palatino Linotype"/>
          <w:i/>
          <w:color w:val="000000"/>
        </w:rPr>
        <w:t>-Palacio; La Perla y Campestre-la Bola</w:t>
      </w:r>
      <w:r w:rsidRPr="00523CF0">
        <w:rPr>
          <w:rFonts w:ascii="Palatino Linotype" w:eastAsia="Times New Roman" w:hAnsi="Palatino Linotype" w:cs="Times New Roman"/>
          <w:i/>
          <w:lang w:val="es-ES_tradnl" w:eastAsia="es-ES"/>
        </w:rPr>
        <w:t xml:space="preserve">” </w:t>
      </w:r>
      <w:r w:rsidRPr="00523CF0">
        <w:rPr>
          <w:rFonts w:ascii="Palatino Linotype" w:eastAsia="Times New Roman" w:hAnsi="Palatino Linotype" w:cs="Times New Roman"/>
          <w:lang w:val="es-ES_tradnl" w:eastAsia="es-ES"/>
        </w:rPr>
        <w:t>[Sic]</w:t>
      </w:r>
    </w:p>
    <w:p w:rsidR="00771A16" w:rsidRPr="00523CF0" w:rsidRDefault="00771A16" w:rsidP="00771A16">
      <w:pPr>
        <w:spacing w:before="240" w:line="360" w:lineRule="auto"/>
        <w:jc w:val="both"/>
        <w:rPr>
          <w:rFonts w:ascii="Palatino Linotype" w:hAnsi="Palatino Linotype" w:cs="Arial"/>
          <w:sz w:val="24"/>
        </w:rPr>
      </w:pPr>
      <w:r w:rsidRPr="00BB243B">
        <w:rPr>
          <w:rFonts w:ascii="Palatino Linotype" w:hAnsi="Palatino Linotype" w:cs="Arial"/>
          <w:b/>
          <w:sz w:val="24"/>
        </w:rPr>
        <w:lastRenderedPageBreak/>
        <w:t>Solicitud de información</w:t>
      </w:r>
      <w:r>
        <w:rPr>
          <w:rFonts w:ascii="Palatino Linotype" w:hAnsi="Palatino Linotype" w:cs="Arial"/>
          <w:sz w:val="24"/>
        </w:rPr>
        <w:t xml:space="preserve"> </w:t>
      </w:r>
      <w:r w:rsidR="00755747" w:rsidRPr="00755747">
        <w:rPr>
          <w:rFonts w:ascii="Palatino Linotype" w:hAnsi="Palatino Linotype" w:cs="Arial"/>
          <w:b/>
          <w:sz w:val="24"/>
        </w:rPr>
        <w:t>00384/FGJ/IP/2018</w:t>
      </w:r>
    </w:p>
    <w:p w:rsidR="00771A16" w:rsidRPr="00BB243B" w:rsidRDefault="00771A16" w:rsidP="00771A16">
      <w:pPr>
        <w:spacing w:line="360" w:lineRule="aut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401B46" w:rsidRPr="00401B46">
        <w:rPr>
          <w:rFonts w:ascii="Palatino Linotype" w:eastAsia="Times New Roman" w:hAnsi="Palatino Linotype" w:cs="Times New Roman"/>
          <w:i/>
          <w:lang w:val="es-ES_tradnl" w:eastAsia="es-ES"/>
        </w:rPr>
        <w:t xml:space="preserve">Cuantos números de NUC se iniciaron en los años 2016, 2017 y al 31 de mayo de 2018 por los delitos de: (Información desglosada por mes) Robo a Transporte Público Robo a transeúnte Robo a casa habitación Información correspondiente a las iniciadas en </w:t>
      </w:r>
      <w:proofErr w:type="spellStart"/>
      <w:r w:rsidR="00401B46" w:rsidRPr="00401B46">
        <w:rPr>
          <w:rFonts w:ascii="Palatino Linotype" w:eastAsia="Times New Roman" w:hAnsi="Palatino Linotype" w:cs="Times New Roman"/>
          <w:i/>
          <w:lang w:val="es-ES_tradnl" w:eastAsia="es-ES"/>
        </w:rPr>
        <w:t>Neza</w:t>
      </w:r>
      <w:proofErr w:type="spellEnd"/>
      <w:r w:rsidR="00401B46" w:rsidRPr="00401B46">
        <w:rPr>
          <w:rFonts w:ascii="Palatino Linotype" w:eastAsia="Times New Roman" w:hAnsi="Palatino Linotype" w:cs="Times New Roman"/>
          <w:i/>
          <w:lang w:val="es-ES_tradnl" w:eastAsia="es-ES"/>
        </w:rPr>
        <w:t>-Palacio; La Perla y Campestre-la Bola</w:t>
      </w:r>
      <w:r w:rsidRPr="00632A6D">
        <w:rPr>
          <w:rFonts w:ascii="Palatino Linotype" w:eastAsia="Times New Roman" w:hAnsi="Palatino Linotype" w:cs="Times New Roman"/>
          <w:i/>
          <w:lang w:val="es-ES_tradnl" w:eastAsia="es-ES"/>
        </w:rPr>
        <w:t>.</w:t>
      </w:r>
      <w:r>
        <w:rPr>
          <w:rFonts w:ascii="Palatino Linotype" w:eastAsia="Times New Roman" w:hAnsi="Palatino Linotype" w:cs="Times New Roman"/>
          <w:i/>
          <w:lang w:val="es-ES_tradnl" w:eastAsia="es-ES"/>
        </w:rPr>
        <w:t xml:space="preserve">” </w:t>
      </w:r>
      <w:r w:rsidRPr="00632A6D">
        <w:rPr>
          <w:rFonts w:ascii="Palatino Linotype" w:eastAsia="Times New Roman" w:hAnsi="Palatino Linotype" w:cs="Times New Roman"/>
          <w:i/>
          <w:lang w:val="es-ES_tradnl" w:eastAsia="es-ES"/>
        </w:rPr>
        <w:t>[Sic]</w:t>
      </w:r>
    </w:p>
    <w:p w:rsidR="00792776" w:rsidRPr="008C29BB" w:rsidRDefault="00792776" w:rsidP="00B26603">
      <w:pPr>
        <w:pStyle w:val="Prrafodelista"/>
        <w:numPr>
          <w:ilvl w:val="0"/>
          <w:numId w:val="5"/>
        </w:numPr>
        <w:spacing w:after="0" w:line="360" w:lineRule="auto"/>
        <w:ind w:left="284"/>
        <w:jc w:val="both"/>
        <w:rPr>
          <w:rFonts w:ascii="Palatino Linotype" w:eastAsia="Times New Roman" w:hAnsi="Palatino Linotype" w:cs="Arial"/>
          <w:sz w:val="24"/>
          <w:szCs w:val="24"/>
          <w:lang w:val="es-ES" w:eastAsia="es-ES"/>
        </w:rPr>
      </w:pPr>
      <w:r w:rsidRPr="008C29BB">
        <w:rPr>
          <w:rFonts w:ascii="Palatino Linotype" w:eastAsia="Times New Roman" w:hAnsi="Palatino Linotype" w:cs="Arial"/>
          <w:sz w:val="24"/>
          <w:szCs w:val="24"/>
          <w:lang w:val="es-ES" w:eastAsia="es-ES"/>
        </w:rPr>
        <w:t>Se señaló como modalidad de entrega de la información</w:t>
      </w:r>
      <w:r w:rsidRPr="008C29BB">
        <w:rPr>
          <w:rFonts w:ascii="Palatino Linotype" w:eastAsia="Times New Roman" w:hAnsi="Palatino Linotype" w:cs="Arial"/>
          <w:b/>
          <w:sz w:val="24"/>
          <w:szCs w:val="24"/>
          <w:lang w:val="es-ES" w:eastAsia="es-ES"/>
        </w:rPr>
        <w:t>:</w:t>
      </w:r>
      <w:r w:rsidRPr="008C29BB">
        <w:rPr>
          <w:rFonts w:ascii="Palatino Linotype" w:eastAsia="Times New Roman" w:hAnsi="Palatino Linotype" w:cs="Arial"/>
          <w:sz w:val="24"/>
          <w:szCs w:val="24"/>
          <w:lang w:val="es-ES" w:eastAsia="es-ES"/>
        </w:rPr>
        <w:t xml:space="preserve"> </w:t>
      </w:r>
      <w:r w:rsidRPr="008C29BB">
        <w:rPr>
          <w:rFonts w:ascii="Palatino Linotype" w:eastAsia="Times New Roman" w:hAnsi="Palatino Linotype" w:cs="Arial"/>
          <w:b/>
          <w:sz w:val="24"/>
          <w:szCs w:val="24"/>
          <w:lang w:val="es-ES" w:eastAsia="es-ES"/>
        </w:rPr>
        <w:t xml:space="preserve">a través </w:t>
      </w:r>
      <w:r w:rsidR="00401B46" w:rsidRPr="00401B46">
        <w:rPr>
          <w:rFonts w:ascii="Palatino Linotype" w:eastAsia="Times New Roman" w:hAnsi="Palatino Linotype" w:cs="Arial"/>
          <w:b/>
          <w:sz w:val="24"/>
          <w:szCs w:val="24"/>
          <w:lang w:val="es-ES" w:eastAsia="es-ES"/>
        </w:rPr>
        <w:t>CD-ROM(con costo)</w:t>
      </w:r>
    </w:p>
    <w:p w:rsidR="00792776" w:rsidRPr="00BA1B55" w:rsidRDefault="00792776" w:rsidP="00792776">
      <w:pPr>
        <w:spacing w:after="0" w:line="240" w:lineRule="auto"/>
        <w:ind w:left="720"/>
        <w:contextualSpacing/>
        <w:rPr>
          <w:rFonts w:ascii="Palatino Linotype" w:eastAsia="Times New Roman" w:hAnsi="Palatino Linotype" w:cs="Arial"/>
          <w:sz w:val="24"/>
          <w:szCs w:val="24"/>
          <w:lang w:val="es-ES" w:eastAsia="es-ES"/>
        </w:rPr>
      </w:pPr>
    </w:p>
    <w:p w:rsidR="00DC5170" w:rsidRPr="00E7332A" w:rsidRDefault="00133151" w:rsidP="003F5243">
      <w:pPr>
        <w:numPr>
          <w:ilvl w:val="0"/>
          <w:numId w:val="2"/>
        </w:numPr>
        <w:spacing w:before="240" w:after="240" w:line="360" w:lineRule="auto"/>
        <w:ind w:left="426" w:hanging="426"/>
        <w:contextualSpacing/>
        <w:jc w:val="both"/>
        <w:rPr>
          <w:rFonts w:ascii="Palatino Linotype" w:eastAsia="Times New Roman" w:hAnsi="Palatino Linotype" w:cs="Arial"/>
          <w:sz w:val="24"/>
          <w:szCs w:val="24"/>
          <w:lang w:val="es-ES" w:eastAsia="es-ES"/>
        </w:rPr>
      </w:pPr>
      <w:r w:rsidRPr="00BA1B55">
        <w:rPr>
          <w:rFonts w:ascii="Palatino Linotype" w:eastAsia="Times New Roman" w:hAnsi="Palatino Linotype" w:cs="Arial"/>
          <w:sz w:val="24"/>
          <w:szCs w:val="24"/>
          <w:lang w:val="es-ES" w:eastAsia="es-ES"/>
        </w:rPr>
        <w:t xml:space="preserve">En fecha </w:t>
      </w:r>
      <w:r w:rsidR="002B26E3">
        <w:rPr>
          <w:rFonts w:ascii="Palatino Linotype" w:eastAsia="Times New Roman" w:hAnsi="Palatino Linotype" w:cs="Arial"/>
          <w:sz w:val="24"/>
          <w:szCs w:val="24"/>
          <w:lang w:val="es-ES" w:eastAsia="es-ES"/>
        </w:rPr>
        <w:t>veintiséis (26) de junio</w:t>
      </w:r>
      <w:r w:rsidR="003F5243">
        <w:rPr>
          <w:rFonts w:ascii="Palatino Linotype" w:eastAsia="Times New Roman" w:hAnsi="Palatino Linotype" w:cs="Arial"/>
          <w:sz w:val="24"/>
          <w:szCs w:val="24"/>
          <w:lang w:val="es-ES" w:eastAsia="es-ES"/>
        </w:rPr>
        <w:t xml:space="preserve"> de dos mil dieciocho</w:t>
      </w:r>
      <w:r w:rsidRPr="00BA1B55">
        <w:rPr>
          <w:rFonts w:ascii="Palatino Linotype" w:eastAsia="Times New Roman" w:hAnsi="Palatino Linotype" w:cs="Arial"/>
          <w:sz w:val="24"/>
          <w:szCs w:val="24"/>
          <w:lang w:val="es-ES" w:eastAsia="es-ES"/>
        </w:rPr>
        <w:t xml:space="preserve"> el </w:t>
      </w:r>
      <w:r w:rsidRPr="00BA1B55">
        <w:rPr>
          <w:rFonts w:ascii="Palatino Linotype" w:eastAsia="Times New Roman" w:hAnsi="Palatino Linotype" w:cs="Arial"/>
          <w:b/>
          <w:sz w:val="24"/>
          <w:szCs w:val="24"/>
          <w:lang w:val="es-ES" w:eastAsia="es-ES"/>
        </w:rPr>
        <w:t>SUJETO OBLIGADO</w:t>
      </w:r>
      <w:r w:rsidRPr="00BA1B55">
        <w:rPr>
          <w:rFonts w:ascii="Palatino Linotype" w:eastAsia="Times New Roman" w:hAnsi="Palatino Linotype" w:cs="Arial"/>
          <w:sz w:val="24"/>
          <w:szCs w:val="24"/>
          <w:lang w:val="es-ES" w:eastAsia="es-ES"/>
        </w:rPr>
        <w:t xml:space="preserve"> </w:t>
      </w:r>
      <w:r w:rsidR="00DC5170" w:rsidRPr="003F5243">
        <w:rPr>
          <w:rFonts w:ascii="Palatino Linotype" w:hAnsi="Palatino Linotype"/>
          <w:color w:val="000000"/>
          <w:sz w:val="24"/>
          <w:szCs w:val="24"/>
        </w:rPr>
        <w:t>dio respuesta en los siguientes términos</w:t>
      </w:r>
      <w:r w:rsidR="00722FCE">
        <w:rPr>
          <w:rFonts w:ascii="Palatino Linotype" w:hAnsi="Palatino Linotype"/>
          <w:color w:val="000000"/>
          <w:sz w:val="24"/>
          <w:szCs w:val="24"/>
        </w:rPr>
        <w:t>, cabe hacer la precisión, que para ambos remitió lo mismo, por lo cual, para repeticiones innecesarias únicamente se inserta una sola vez</w:t>
      </w:r>
      <w:r w:rsidR="00DC5170" w:rsidRPr="003F5243">
        <w:rPr>
          <w:rFonts w:ascii="Palatino Linotype" w:hAnsi="Palatino Linotype"/>
          <w:color w:val="000000"/>
          <w:sz w:val="24"/>
          <w:szCs w:val="24"/>
        </w:rPr>
        <w:t xml:space="preserve">: </w:t>
      </w:r>
    </w:p>
    <w:p w:rsidR="00771A16" w:rsidRDefault="00722FCE" w:rsidP="00EC113F">
      <w:pPr>
        <w:spacing w:after="0" w:line="276" w:lineRule="auto"/>
        <w:ind w:left="567" w:right="567"/>
        <w:jc w:val="both"/>
        <w:rPr>
          <w:rFonts w:ascii="Palatino Linotype" w:hAnsi="Palatino Linotype"/>
          <w:i/>
          <w:color w:val="000000"/>
        </w:rPr>
      </w:pPr>
      <w:r w:rsidRPr="00523CF0">
        <w:rPr>
          <w:rFonts w:ascii="Palatino Linotype" w:hAnsi="Palatino Linotype" w:cs="Arial"/>
          <w:i/>
        </w:rPr>
        <w:t xml:space="preserve"> </w:t>
      </w:r>
      <w:r w:rsidR="00771A16" w:rsidRPr="00523CF0">
        <w:rPr>
          <w:rFonts w:ascii="Palatino Linotype" w:hAnsi="Palatino Linotype" w:cs="Arial"/>
          <w:i/>
        </w:rPr>
        <w:t>“</w:t>
      </w:r>
      <w:r w:rsidR="00E7332A" w:rsidRPr="00E7332A">
        <w:rPr>
          <w:rFonts w:ascii="Palatino Linotype" w:hAnsi="Palatino Linotype" w:cs="Arial"/>
          <w:i/>
        </w:rPr>
        <w:t xml:space="preserve">Toluca de Lerdo, Estado de México; a 26 de junio de 2018 Número de oficio: 0714/MAIP/FGJ/2018 </w:t>
      </w:r>
      <w:r w:rsidR="00667FDC" w:rsidRPr="00667FDC">
        <w:rPr>
          <w:rFonts w:ascii="Palatino Linotype" w:hAnsi="Palatino Linotype" w:cs="Arial"/>
          <w:i/>
          <w:highlight w:val="black"/>
        </w:rPr>
        <w:t>----------------------------</w:t>
      </w:r>
      <w:r w:rsidR="00E7332A" w:rsidRPr="00E7332A">
        <w:rPr>
          <w:rFonts w:ascii="Palatino Linotype" w:hAnsi="Palatino Linotype" w:cs="Arial"/>
          <w:i/>
        </w:rPr>
        <w:t xml:space="preserve"> Hago referencia al contenido de sus solicitudes de información pública, presentadas el 5 de junio del año 2018, ante la Unidad de Transparencia y Acceso a la Información Pública de la Fiscalía General de Justicia del Estado de México, mismas que fueron registradas en el Sistema de Acceso a la Información Mexiquense (SAIMEX), bajo los números de folio 00383 y 00384/FGJ/IP/2018, en las que pide lo siguiente: FOLIO 00383/FGJ/IP/2018. ”Cuantos números de NIC se iniciaron en los años 2016, 2017 y al 31 de mayo de 2018 por los delitos de: (Información desglosada por mes) Robo a Transporte Público Robo a transeúnte Robo a casa habitación Información correspondiente a las iniciadas en </w:t>
      </w:r>
      <w:proofErr w:type="spellStart"/>
      <w:r w:rsidR="00E7332A" w:rsidRPr="00E7332A">
        <w:rPr>
          <w:rFonts w:ascii="Palatino Linotype" w:hAnsi="Palatino Linotype" w:cs="Arial"/>
          <w:i/>
        </w:rPr>
        <w:t>Neza</w:t>
      </w:r>
      <w:proofErr w:type="spellEnd"/>
      <w:r w:rsidR="00E7332A" w:rsidRPr="00E7332A">
        <w:rPr>
          <w:rFonts w:ascii="Palatino Linotype" w:hAnsi="Palatino Linotype" w:cs="Arial"/>
          <w:i/>
        </w:rPr>
        <w:t xml:space="preserve">-Palacio; La Perla y Campestre-la Bola” (sic). FOLIO 00384/FGJ/IP/2018. ”Cuantos números de NUC se iniciaron en los años 2016, 2017 y al 31 de mayo de 2018 por los delitos de: (Información desglosada por mes) Robo a Transporte Público Robo a transeúnte Robo a casa habitación Información correspondiente a las iniciadas en </w:t>
      </w:r>
      <w:proofErr w:type="spellStart"/>
      <w:r w:rsidR="00E7332A" w:rsidRPr="00E7332A">
        <w:rPr>
          <w:rFonts w:ascii="Palatino Linotype" w:hAnsi="Palatino Linotype" w:cs="Arial"/>
          <w:i/>
        </w:rPr>
        <w:t>Neza</w:t>
      </w:r>
      <w:proofErr w:type="spellEnd"/>
      <w:r w:rsidR="00E7332A" w:rsidRPr="00E7332A">
        <w:rPr>
          <w:rFonts w:ascii="Palatino Linotype" w:hAnsi="Palatino Linotype" w:cs="Arial"/>
          <w:i/>
        </w:rPr>
        <w:t xml:space="preserve">-Palacio; La Perla y Campestre-la Bola” (sic). Al respecto, esta Fiscalía General de Justicia del Estado de México, con fundamento en los artículos 1, 4 y 163 de la Ley de </w:t>
      </w:r>
      <w:r w:rsidR="00E7332A" w:rsidRPr="00E7332A">
        <w:rPr>
          <w:rFonts w:ascii="Palatino Linotype" w:hAnsi="Palatino Linotype" w:cs="Arial"/>
          <w:i/>
        </w:rPr>
        <w:lastRenderedPageBreak/>
        <w:t xml:space="preserve">Transparencia y Acceso a la Información Pública del Estado de México y Municipios, hace de su conocimiento que de acuerdo a lo informado por el Servidor Público Habilitado, </w:t>
      </w:r>
      <w:r w:rsidR="00E7332A" w:rsidRPr="00BB18DD">
        <w:rPr>
          <w:rFonts w:ascii="Palatino Linotype" w:hAnsi="Palatino Linotype" w:cs="Arial"/>
          <w:b/>
          <w:i/>
        </w:rPr>
        <w:t xml:space="preserve">no se procesa información estadística por Agencia del Ministerio Público, por NIC ni por NUC; no obstante, </w:t>
      </w:r>
      <w:r w:rsidR="00E7332A" w:rsidRPr="00E7332A">
        <w:rPr>
          <w:rFonts w:ascii="Palatino Linotype" w:hAnsi="Palatino Linotype" w:cs="Arial"/>
          <w:i/>
        </w:rPr>
        <w:t>a efecto de privilegiar el principio de máxima publicidad a que hace referencia el artículo 4, párrafo segundo de la Ley de la materia, se proporciona vía (SAIMEX), el número de denuncias presentadas ante el Ministerio Público, en el municipio de Nezahualcóyotl, por los delitos referidos en sus solicitudes correspondientes a los años 2016, 2017 y hasta mayo de 2018, de acuerdo a cifras publicadas en la página del Secretariado Ejecutivo del Sistema Nacional de Seguridad Pública (SESNSP). Sin otro particular, le reitero la seguridad de mi distinguida consideración. A T E N T A M E N T E M. EN A. JORGE MEZHER RAGE OFICIAL MAYOR Y TITULAR DE LA UNIDAD DE TRANSPARENCIA YLG/LGCG.</w:t>
      </w:r>
      <w:r w:rsidR="00771A16" w:rsidRPr="00523CF0">
        <w:rPr>
          <w:rFonts w:ascii="Palatino Linotype" w:hAnsi="Palatino Linotype"/>
          <w:i/>
          <w:color w:val="000000"/>
        </w:rPr>
        <w:t xml:space="preserve">” </w:t>
      </w:r>
      <w:r w:rsidR="00771A16" w:rsidRPr="00523CF0">
        <w:rPr>
          <w:rFonts w:ascii="Palatino Linotype" w:hAnsi="Palatino Linotype"/>
          <w:color w:val="000000"/>
        </w:rPr>
        <w:t>(Sic)</w:t>
      </w:r>
      <w:r w:rsidR="00771A16" w:rsidRPr="00523CF0">
        <w:rPr>
          <w:rFonts w:ascii="Palatino Linotype" w:hAnsi="Palatino Linotype"/>
          <w:i/>
          <w:color w:val="000000"/>
        </w:rPr>
        <w:t>.</w:t>
      </w:r>
    </w:p>
    <w:p w:rsidR="00E7332A" w:rsidRPr="00E7332A" w:rsidRDefault="00771A16" w:rsidP="00B26603">
      <w:pPr>
        <w:pStyle w:val="Prrafodelista"/>
        <w:numPr>
          <w:ilvl w:val="0"/>
          <w:numId w:val="6"/>
        </w:numPr>
        <w:spacing w:before="240" w:after="0" w:line="360" w:lineRule="auto"/>
        <w:contextualSpacing w:val="0"/>
        <w:jc w:val="both"/>
        <w:rPr>
          <w:rFonts w:ascii="Palatino Linotype" w:hAnsi="Palatino Linotype" w:cs="Arial"/>
          <w:b/>
          <w:sz w:val="32"/>
        </w:rPr>
      </w:pPr>
      <w:r w:rsidRPr="00B714C7">
        <w:rPr>
          <w:rFonts w:ascii="Palatino Linotype" w:hAnsi="Palatino Linotype" w:cs="Arial"/>
        </w:rPr>
        <w:t>Adjuntando, el archivo denominado “</w:t>
      </w:r>
      <w:r w:rsidR="00E7332A" w:rsidRPr="00E7332A">
        <w:rPr>
          <w:rFonts w:ascii="Palatino Linotype" w:hAnsi="Palatino Linotype" w:cs="Arial"/>
        </w:rPr>
        <w:t xml:space="preserve">C. </w:t>
      </w:r>
      <w:r w:rsidR="00667FDC" w:rsidRPr="00667FDC">
        <w:rPr>
          <w:rFonts w:ascii="Palatino Linotype" w:hAnsi="Palatino Linotype" w:cs="Arial"/>
          <w:highlight w:val="black"/>
        </w:rPr>
        <w:t>-----------</w:t>
      </w:r>
      <w:r w:rsidR="00667FDC">
        <w:rPr>
          <w:rFonts w:ascii="Palatino Linotype" w:hAnsi="Palatino Linotype" w:cs="Arial"/>
          <w:highlight w:val="black"/>
        </w:rPr>
        <w:t>---</w:t>
      </w:r>
      <w:r w:rsidR="00667FDC" w:rsidRPr="00667FDC">
        <w:rPr>
          <w:rFonts w:ascii="Palatino Linotype" w:hAnsi="Palatino Linotype" w:cs="Arial"/>
          <w:highlight w:val="black"/>
        </w:rPr>
        <w:t>-------</w:t>
      </w:r>
      <w:r w:rsidR="00E7332A" w:rsidRPr="00E7332A">
        <w:rPr>
          <w:rFonts w:ascii="Palatino Linotype" w:hAnsi="Palatino Linotype" w:cs="Arial"/>
        </w:rPr>
        <w:t xml:space="preserve"> 384-1.pdf</w:t>
      </w:r>
      <w:r w:rsidR="00E7332A">
        <w:rPr>
          <w:rFonts w:ascii="Palatino Linotype" w:hAnsi="Palatino Linotype" w:cs="Arial"/>
        </w:rPr>
        <w:t xml:space="preserve">” consistente en un documento consistente en una foja donde se aprecia un listado con los siguientes rubros: </w:t>
      </w:r>
      <w:r w:rsidR="00E7332A" w:rsidRPr="00E7332A">
        <w:rPr>
          <w:rFonts w:ascii="Palatino Linotype" w:hAnsi="Palatino Linotype" w:cs="Arial"/>
        </w:rPr>
        <w:t xml:space="preserve">Año, </w:t>
      </w:r>
      <w:proofErr w:type="spellStart"/>
      <w:r w:rsidR="00E7332A" w:rsidRPr="00E7332A">
        <w:rPr>
          <w:rFonts w:ascii="Palatino Linotype" w:hAnsi="Palatino Linotype" w:cs="Arial"/>
        </w:rPr>
        <w:t>Clave_Ent</w:t>
      </w:r>
      <w:proofErr w:type="spellEnd"/>
      <w:r w:rsidR="00E7332A" w:rsidRPr="00E7332A">
        <w:rPr>
          <w:rFonts w:ascii="Palatino Linotype" w:hAnsi="Palatino Linotype" w:cs="Arial"/>
        </w:rPr>
        <w:t xml:space="preserve">, Entidad </w:t>
      </w:r>
      <w:proofErr w:type="spellStart"/>
      <w:r w:rsidR="00E7332A" w:rsidRPr="00E7332A">
        <w:rPr>
          <w:rFonts w:ascii="Palatino Linotype" w:hAnsi="Palatino Linotype" w:cs="Arial"/>
        </w:rPr>
        <w:t>Cve</w:t>
      </w:r>
      <w:proofErr w:type="spellEnd"/>
      <w:r w:rsidR="00E7332A" w:rsidRPr="00E7332A">
        <w:rPr>
          <w:rFonts w:ascii="Palatino Linotype" w:hAnsi="Palatino Linotype" w:cs="Arial"/>
        </w:rPr>
        <w:t>. Municipio, Municipio, Bien jurídico afectado, Tipo de delito, Subtipo de delito, Modalidad, Enero, Febrero, Marzo, Abril, Mayo, Junio, Julio, Agosto, Septiembre, Octubre Noviembre y  Diciembre</w:t>
      </w:r>
      <w:r w:rsidR="00E7332A">
        <w:rPr>
          <w:rFonts w:ascii="Palatino Linotype" w:hAnsi="Palatino Linotype" w:cs="Arial"/>
        </w:rPr>
        <w:t>.</w:t>
      </w:r>
    </w:p>
    <w:p w:rsidR="00771A16" w:rsidRPr="00771A16" w:rsidRDefault="00771A16" w:rsidP="00771A16">
      <w:pPr>
        <w:pStyle w:val="Prrafodelista"/>
        <w:spacing w:after="0" w:line="360" w:lineRule="auto"/>
        <w:ind w:left="284" w:right="34"/>
        <w:jc w:val="both"/>
        <w:rPr>
          <w:rFonts w:ascii="Palatino Linotype" w:hAnsi="Palatino Linotype"/>
          <w:sz w:val="24"/>
          <w:szCs w:val="24"/>
        </w:rPr>
      </w:pPr>
    </w:p>
    <w:p w:rsidR="00DC5170" w:rsidRPr="00BA1B55" w:rsidRDefault="00DC5170" w:rsidP="00DC5170">
      <w:pPr>
        <w:pStyle w:val="Prrafodelista"/>
        <w:numPr>
          <w:ilvl w:val="0"/>
          <w:numId w:val="2"/>
        </w:numPr>
        <w:spacing w:after="0" w:line="360" w:lineRule="auto"/>
        <w:ind w:left="284" w:right="34" w:hanging="284"/>
        <w:jc w:val="both"/>
        <w:rPr>
          <w:rFonts w:ascii="Palatino Linotype" w:hAnsi="Palatino Linotype"/>
          <w:sz w:val="24"/>
          <w:szCs w:val="24"/>
        </w:rPr>
      </w:pPr>
      <w:r w:rsidRPr="00BA1B55">
        <w:rPr>
          <w:rFonts w:ascii="Palatino Linotype" w:eastAsia="Times New Roman" w:hAnsi="Palatino Linotype" w:cs="Arial"/>
          <w:sz w:val="24"/>
          <w:szCs w:val="24"/>
          <w:lang w:val="es-ES"/>
        </w:rPr>
        <w:t xml:space="preserve">El día </w:t>
      </w:r>
      <w:r w:rsidR="00EE2FD9">
        <w:rPr>
          <w:rFonts w:ascii="Palatino Linotype" w:eastAsia="Times New Roman" w:hAnsi="Palatino Linotype" w:cs="Arial"/>
          <w:sz w:val="24"/>
          <w:szCs w:val="24"/>
          <w:lang w:val="es-ES"/>
        </w:rPr>
        <w:t>veintisiete (27) de junio</w:t>
      </w:r>
      <w:r w:rsidR="007061DA" w:rsidRPr="00BA1B55">
        <w:rPr>
          <w:rFonts w:ascii="Palatino Linotype" w:eastAsia="Times New Roman" w:hAnsi="Palatino Linotype" w:cs="Arial"/>
          <w:sz w:val="24"/>
          <w:szCs w:val="24"/>
          <w:lang w:val="es-ES"/>
        </w:rPr>
        <w:t xml:space="preserve"> de dos mil dieciocho, el</w:t>
      </w:r>
      <w:r w:rsidRPr="00BA1B55">
        <w:rPr>
          <w:rFonts w:ascii="Palatino Linotype" w:hAnsi="Palatino Linotype" w:cs="Arial"/>
          <w:sz w:val="24"/>
          <w:szCs w:val="24"/>
        </w:rPr>
        <w:t xml:space="preserve"> particular</w:t>
      </w:r>
      <w:r w:rsidRPr="00BA1B55">
        <w:rPr>
          <w:rFonts w:ascii="Palatino Linotype" w:eastAsia="Times New Roman" w:hAnsi="Palatino Linotype" w:cs="Arial"/>
          <w:sz w:val="24"/>
          <w:szCs w:val="24"/>
          <w:lang w:val="es-ES"/>
        </w:rPr>
        <w:t xml:space="preserve"> interpuso </w:t>
      </w:r>
      <w:r w:rsidR="005A3C0D">
        <w:rPr>
          <w:rFonts w:ascii="Palatino Linotype" w:eastAsia="Times New Roman" w:hAnsi="Palatino Linotype" w:cs="Arial"/>
          <w:sz w:val="24"/>
          <w:szCs w:val="24"/>
          <w:lang w:val="es-ES"/>
        </w:rPr>
        <w:t>los</w:t>
      </w:r>
      <w:r w:rsidRPr="00BA1B55">
        <w:rPr>
          <w:rFonts w:ascii="Palatino Linotype" w:eastAsia="Times New Roman" w:hAnsi="Palatino Linotype" w:cs="Arial"/>
          <w:sz w:val="24"/>
          <w:szCs w:val="24"/>
          <w:lang w:val="es-ES"/>
        </w:rPr>
        <w:t xml:space="preserve"> recurso</w:t>
      </w:r>
      <w:r w:rsidR="005A3C0D">
        <w:rPr>
          <w:rFonts w:ascii="Palatino Linotype" w:eastAsia="Times New Roman" w:hAnsi="Palatino Linotype" w:cs="Arial"/>
          <w:sz w:val="24"/>
          <w:szCs w:val="24"/>
          <w:lang w:val="es-ES"/>
        </w:rPr>
        <w:t>s</w:t>
      </w:r>
      <w:r w:rsidRPr="00BA1B55">
        <w:rPr>
          <w:rFonts w:ascii="Palatino Linotype" w:eastAsia="Times New Roman" w:hAnsi="Palatino Linotype" w:cs="Arial"/>
          <w:sz w:val="24"/>
          <w:szCs w:val="24"/>
          <w:lang w:val="es-ES"/>
        </w:rPr>
        <w:t xml:space="preserve"> de revisión, en contra de la</w:t>
      </w:r>
      <w:r w:rsidR="005A56E1">
        <w:rPr>
          <w:rFonts w:ascii="Palatino Linotype" w:eastAsia="Times New Roman" w:hAnsi="Palatino Linotype" w:cs="Arial"/>
          <w:sz w:val="24"/>
          <w:szCs w:val="24"/>
          <w:lang w:val="es-ES"/>
        </w:rPr>
        <w:t>s</w:t>
      </w:r>
      <w:r w:rsidRPr="00BA1B55">
        <w:rPr>
          <w:rFonts w:ascii="Palatino Linotype" w:eastAsia="Times New Roman" w:hAnsi="Palatino Linotype" w:cs="Arial"/>
          <w:sz w:val="24"/>
          <w:szCs w:val="24"/>
          <w:lang w:val="es-ES"/>
        </w:rPr>
        <w:t xml:space="preserve"> respuesta</w:t>
      </w:r>
      <w:r w:rsidR="005A56E1">
        <w:rPr>
          <w:rFonts w:ascii="Palatino Linotype" w:eastAsia="Times New Roman" w:hAnsi="Palatino Linotype" w:cs="Arial"/>
          <w:sz w:val="24"/>
          <w:szCs w:val="24"/>
          <w:lang w:val="es-ES"/>
        </w:rPr>
        <w:t>s</w:t>
      </w:r>
      <w:r w:rsidRPr="00BA1B55">
        <w:rPr>
          <w:rFonts w:ascii="Palatino Linotype" w:eastAsia="Times New Roman" w:hAnsi="Palatino Linotype" w:cs="Arial"/>
          <w:sz w:val="24"/>
          <w:szCs w:val="24"/>
          <w:lang w:val="es-ES"/>
        </w:rPr>
        <w:t xml:space="preserve"> anteriormente referida</w:t>
      </w:r>
      <w:r w:rsidR="005A56E1">
        <w:rPr>
          <w:rFonts w:ascii="Palatino Linotype" w:eastAsia="Times New Roman" w:hAnsi="Palatino Linotype" w:cs="Arial"/>
          <w:sz w:val="24"/>
          <w:szCs w:val="24"/>
          <w:lang w:val="es-ES"/>
        </w:rPr>
        <w:t>s</w:t>
      </w:r>
      <w:r w:rsidRPr="00BA1B55">
        <w:rPr>
          <w:rFonts w:ascii="Palatino Linotype" w:eastAsia="Times New Roman" w:hAnsi="Palatino Linotype" w:cs="Arial"/>
          <w:sz w:val="24"/>
          <w:szCs w:val="24"/>
          <w:lang w:val="es-ES"/>
        </w:rPr>
        <w:t xml:space="preserve">, señalando </w:t>
      </w:r>
      <w:r w:rsidR="005A3C0D">
        <w:rPr>
          <w:rFonts w:ascii="Palatino Linotype" w:eastAsia="Times New Roman" w:hAnsi="Palatino Linotype" w:cs="Arial"/>
          <w:sz w:val="24"/>
          <w:szCs w:val="24"/>
          <w:lang w:val="es-ES"/>
        </w:rPr>
        <w:t>en</w:t>
      </w:r>
      <w:r w:rsidR="00EE2FD9">
        <w:rPr>
          <w:rFonts w:ascii="Palatino Linotype" w:eastAsia="Times New Roman" w:hAnsi="Palatino Linotype" w:cs="Arial"/>
          <w:sz w:val="24"/>
          <w:szCs w:val="24"/>
          <w:lang w:val="es-ES"/>
        </w:rPr>
        <w:t xml:space="preserve"> ambos lo siguiente</w:t>
      </w:r>
      <w:r w:rsidRPr="00BA1B55">
        <w:rPr>
          <w:rFonts w:ascii="Palatino Linotype" w:eastAsia="Times New Roman" w:hAnsi="Palatino Linotype" w:cs="Arial"/>
          <w:sz w:val="24"/>
          <w:szCs w:val="24"/>
          <w:lang w:val="es-ES"/>
        </w:rPr>
        <w:t>:</w:t>
      </w:r>
      <w:bookmarkStart w:id="2" w:name="_Toc466982514"/>
      <w:bookmarkStart w:id="3" w:name="_Toc471908126"/>
      <w:bookmarkStart w:id="4" w:name="_Toc491791300"/>
      <w:bookmarkStart w:id="5" w:name="_Toc496726170"/>
      <w:bookmarkStart w:id="6" w:name="_Toc497242134"/>
      <w:bookmarkStart w:id="7" w:name="_Toc497292517"/>
      <w:bookmarkStart w:id="8" w:name="_Toc498503716"/>
      <w:bookmarkStart w:id="9" w:name="_Toc499568660"/>
      <w:bookmarkStart w:id="10" w:name="_Toc499568693"/>
      <w:bookmarkStart w:id="11" w:name="_Toc499665452"/>
      <w:bookmarkStart w:id="12" w:name="_Toc499729819"/>
      <w:bookmarkStart w:id="13" w:name="_Toc499835024"/>
      <w:bookmarkStart w:id="14" w:name="_Toc499835835"/>
      <w:bookmarkStart w:id="15" w:name="_Toc499835858"/>
    </w:p>
    <w:p w:rsidR="00DC5170" w:rsidRPr="00BA1B55" w:rsidRDefault="00DC5170" w:rsidP="00B26603">
      <w:pPr>
        <w:pStyle w:val="Prrafodelista"/>
        <w:numPr>
          <w:ilvl w:val="0"/>
          <w:numId w:val="3"/>
        </w:numPr>
        <w:spacing w:after="0" w:line="360" w:lineRule="auto"/>
        <w:jc w:val="both"/>
        <w:rPr>
          <w:rFonts w:ascii="Palatino Linotype" w:hAnsi="Palatino Linotype"/>
          <w:b/>
          <w:color w:val="000000" w:themeColor="text1"/>
          <w:sz w:val="24"/>
          <w:szCs w:val="24"/>
        </w:rPr>
      </w:pPr>
      <w:bookmarkStart w:id="16" w:name="_Toc522809771"/>
      <w:r w:rsidRPr="00BA1B55">
        <w:rPr>
          <w:rStyle w:val="Ttulo2Car"/>
          <w:rFonts w:ascii="Palatino Linotype" w:hAnsi="Palatino Linotype"/>
          <w:b/>
          <w:color w:val="000000" w:themeColor="text1"/>
          <w:sz w:val="24"/>
          <w:szCs w:val="24"/>
        </w:rPr>
        <w:t>Acto impugnado</w:t>
      </w:r>
      <w:bookmarkEnd w:id="2"/>
      <w:r w:rsidRPr="00BA1B55">
        <w:rPr>
          <w:rStyle w:val="Ttulo2Car"/>
          <w:rFonts w:ascii="Palatino Linotype" w:hAnsi="Palatino Linotype"/>
          <w:b/>
          <w:color w:val="000000" w:themeColor="text1"/>
          <w:sz w:val="24"/>
          <w:szCs w:val="24"/>
        </w:rPr>
        <w:t>:</w:t>
      </w:r>
      <w:bookmarkEnd w:id="16"/>
      <w:r w:rsidRPr="00BA1B55">
        <w:rPr>
          <w:rStyle w:val="Ttulo2Car"/>
          <w:rFonts w:ascii="Palatino Linotype" w:hAnsi="Palatino Linotype"/>
          <w:b/>
          <w:color w:val="000000" w:themeColor="text1"/>
          <w:sz w:val="24"/>
          <w:szCs w:val="24"/>
        </w:rPr>
        <w:t xml:space="preserve"> </w:t>
      </w:r>
      <w:bookmarkStart w:id="17" w:name="_Toc466982515"/>
      <w:bookmarkStart w:id="18" w:name="_Toc471908127"/>
      <w:bookmarkStart w:id="19" w:name="_Toc491791301"/>
      <w:bookmarkStart w:id="20" w:name="_Toc496726171"/>
      <w:bookmarkStart w:id="21" w:name="_Toc497242135"/>
      <w:bookmarkStart w:id="22" w:name="_Toc497292518"/>
      <w:bookmarkStart w:id="23" w:name="_Toc498503717"/>
      <w:bookmarkStart w:id="24" w:name="_Toc499568661"/>
      <w:bookmarkStart w:id="25" w:name="_Toc499568694"/>
      <w:bookmarkStart w:id="26" w:name="_Toc499665453"/>
      <w:bookmarkStart w:id="27" w:name="_Toc499729820"/>
      <w:bookmarkStart w:id="28" w:name="_Toc499835025"/>
      <w:bookmarkStart w:id="29" w:name="_Toc499835836"/>
      <w:bookmarkStart w:id="30" w:name="_Toc499835859"/>
      <w:bookmarkEnd w:id="3"/>
      <w:bookmarkEnd w:id="4"/>
      <w:bookmarkEnd w:id="5"/>
      <w:bookmarkEnd w:id="6"/>
      <w:bookmarkEnd w:id="7"/>
      <w:bookmarkEnd w:id="8"/>
      <w:bookmarkEnd w:id="9"/>
      <w:bookmarkEnd w:id="10"/>
      <w:bookmarkEnd w:id="11"/>
      <w:bookmarkEnd w:id="12"/>
      <w:bookmarkEnd w:id="13"/>
      <w:bookmarkEnd w:id="14"/>
      <w:bookmarkEnd w:id="15"/>
      <w:r w:rsidRPr="00BA1B55">
        <w:rPr>
          <w:rFonts w:ascii="Palatino Linotype" w:eastAsia="Times New Roman" w:hAnsi="Palatino Linotype" w:cs="Times New Roman"/>
          <w:i/>
          <w:color w:val="000000" w:themeColor="text1"/>
          <w:sz w:val="24"/>
          <w:szCs w:val="24"/>
          <w:lang w:val="es-ES"/>
        </w:rPr>
        <w:t>“</w:t>
      </w:r>
      <w:r w:rsidR="00EE2FD9" w:rsidRPr="00EE2FD9">
        <w:rPr>
          <w:rFonts w:ascii="Palatino Linotype" w:eastAsia="Times New Roman" w:hAnsi="Palatino Linotype" w:cs="Times New Roman"/>
          <w:i/>
          <w:color w:val="000000" w:themeColor="text1"/>
          <w:sz w:val="24"/>
          <w:szCs w:val="24"/>
          <w:lang w:val="es-ES"/>
        </w:rPr>
        <w:t xml:space="preserve">La contestación dada por el Maestro en Administración Jorge Enrique </w:t>
      </w:r>
      <w:proofErr w:type="spellStart"/>
      <w:r w:rsidR="00EE2FD9" w:rsidRPr="00EE2FD9">
        <w:rPr>
          <w:rFonts w:ascii="Palatino Linotype" w:eastAsia="Times New Roman" w:hAnsi="Palatino Linotype" w:cs="Times New Roman"/>
          <w:i/>
          <w:color w:val="000000" w:themeColor="text1"/>
          <w:sz w:val="24"/>
          <w:szCs w:val="24"/>
          <w:lang w:val="es-ES"/>
        </w:rPr>
        <w:t>Mezher</w:t>
      </w:r>
      <w:proofErr w:type="spellEnd"/>
      <w:r w:rsidR="00EE2FD9" w:rsidRPr="00EE2FD9">
        <w:rPr>
          <w:rFonts w:ascii="Palatino Linotype" w:eastAsia="Times New Roman" w:hAnsi="Palatino Linotype" w:cs="Times New Roman"/>
          <w:i/>
          <w:color w:val="000000" w:themeColor="text1"/>
          <w:sz w:val="24"/>
          <w:szCs w:val="24"/>
          <w:lang w:val="es-ES"/>
        </w:rPr>
        <w:t xml:space="preserve"> Rage mediante oficio número 0714/MAIP/FGJ/2018, PORQUE NO DA CONTESTACIÓN A LO SOLICITADO</w:t>
      </w:r>
      <w:r w:rsidRPr="00BA1B55">
        <w:rPr>
          <w:rFonts w:ascii="Palatino Linotype" w:eastAsia="Times New Roman" w:hAnsi="Palatino Linotype" w:cs="Times New Roman"/>
          <w:i/>
          <w:color w:val="000000" w:themeColor="text1"/>
          <w:sz w:val="24"/>
          <w:szCs w:val="24"/>
          <w:lang w:val="es-ES"/>
        </w:rPr>
        <w:t>” (Sic)</w:t>
      </w:r>
    </w:p>
    <w:p w:rsidR="00DC5170" w:rsidRPr="00EE2FD9" w:rsidRDefault="00DC5170" w:rsidP="00B26603">
      <w:pPr>
        <w:pStyle w:val="Prrafodelista"/>
        <w:numPr>
          <w:ilvl w:val="0"/>
          <w:numId w:val="3"/>
        </w:numPr>
        <w:spacing w:after="0" w:line="360" w:lineRule="auto"/>
        <w:jc w:val="both"/>
        <w:rPr>
          <w:rFonts w:ascii="Palatino Linotype" w:hAnsi="Palatino Linotype"/>
          <w:b/>
          <w:i/>
          <w:sz w:val="24"/>
          <w:szCs w:val="24"/>
        </w:rPr>
      </w:pPr>
      <w:bookmarkStart w:id="31" w:name="_Toc522809772"/>
      <w:r w:rsidRPr="00BA1B55">
        <w:rPr>
          <w:rStyle w:val="Ttulo2Car"/>
          <w:rFonts w:ascii="Palatino Linotype" w:hAnsi="Palatino Linotype"/>
          <w:b/>
          <w:color w:val="000000" w:themeColor="text1"/>
          <w:sz w:val="24"/>
          <w:szCs w:val="24"/>
        </w:rPr>
        <w:t>Razones o Motivos de inconformidad:</w:t>
      </w:r>
      <w:bookmarkEnd w:id="17"/>
      <w:bookmarkEnd w:id="31"/>
      <w:r w:rsidRPr="00BA1B55">
        <w:rPr>
          <w:rFonts w:ascii="Palatino Linotype" w:hAnsi="Palatino Linotype"/>
          <w:b/>
          <w:color w:val="000000" w:themeColor="text1"/>
          <w:sz w:val="24"/>
          <w:szCs w:val="24"/>
        </w:rPr>
        <w:t xml:space="preserve"> </w:t>
      </w:r>
      <w:bookmarkEnd w:id="18"/>
      <w:bookmarkEnd w:id="19"/>
      <w:bookmarkEnd w:id="20"/>
      <w:bookmarkEnd w:id="21"/>
      <w:bookmarkEnd w:id="22"/>
      <w:bookmarkEnd w:id="23"/>
      <w:bookmarkEnd w:id="24"/>
      <w:bookmarkEnd w:id="25"/>
      <w:bookmarkEnd w:id="26"/>
      <w:bookmarkEnd w:id="27"/>
      <w:bookmarkEnd w:id="28"/>
      <w:bookmarkEnd w:id="29"/>
      <w:bookmarkEnd w:id="30"/>
      <w:r w:rsidRPr="00BA1B55">
        <w:rPr>
          <w:rFonts w:ascii="Palatino Linotype" w:hAnsi="Palatino Linotype"/>
          <w:i/>
          <w:color w:val="000000" w:themeColor="text1"/>
          <w:sz w:val="24"/>
          <w:szCs w:val="24"/>
        </w:rPr>
        <w:t>“</w:t>
      </w:r>
      <w:r w:rsidR="00EE2FD9" w:rsidRPr="00EE2FD9">
        <w:rPr>
          <w:rFonts w:ascii="Palatino Linotype" w:hAnsi="Palatino Linotype"/>
          <w:i/>
          <w:color w:val="000000" w:themeColor="text1"/>
          <w:sz w:val="24"/>
          <w:szCs w:val="24"/>
        </w:rPr>
        <w:t xml:space="preserve">Por medio del presente me vengo a inconformar con la respuesta dada por el ente obligado, toda vez que, existe norma </w:t>
      </w:r>
      <w:r w:rsidR="00EE2FD9" w:rsidRPr="00EE2FD9">
        <w:rPr>
          <w:rFonts w:ascii="Palatino Linotype" w:hAnsi="Palatino Linotype"/>
          <w:i/>
          <w:color w:val="000000" w:themeColor="text1"/>
          <w:sz w:val="24"/>
          <w:szCs w:val="24"/>
        </w:rPr>
        <w:lastRenderedPageBreak/>
        <w:t xml:space="preserve">jurídica que los obliga a realizar un registro por </w:t>
      </w:r>
      <w:r w:rsidR="00EE2FD9" w:rsidRPr="00BB18DD">
        <w:rPr>
          <w:rFonts w:ascii="Palatino Linotype" w:hAnsi="Palatino Linotype"/>
          <w:b/>
          <w:i/>
          <w:color w:val="000000" w:themeColor="text1"/>
          <w:sz w:val="24"/>
          <w:szCs w:val="24"/>
        </w:rPr>
        <w:t>NIC número interno de control</w:t>
      </w:r>
      <w:r w:rsidR="00EE2FD9" w:rsidRPr="00EE2FD9">
        <w:rPr>
          <w:rFonts w:ascii="Palatino Linotype" w:hAnsi="Palatino Linotype"/>
          <w:i/>
          <w:color w:val="000000" w:themeColor="text1"/>
          <w:sz w:val="24"/>
          <w:szCs w:val="24"/>
        </w:rPr>
        <w:t xml:space="preserve"> y también por </w:t>
      </w:r>
      <w:r w:rsidR="00EE2FD9" w:rsidRPr="00BB18DD">
        <w:rPr>
          <w:rFonts w:ascii="Palatino Linotype" w:hAnsi="Palatino Linotype"/>
          <w:b/>
          <w:i/>
          <w:color w:val="000000" w:themeColor="text1"/>
          <w:sz w:val="24"/>
          <w:szCs w:val="24"/>
        </w:rPr>
        <w:t>NUC número único de causa</w:t>
      </w:r>
      <w:r w:rsidR="00EE2FD9" w:rsidRPr="00EE2FD9">
        <w:rPr>
          <w:rFonts w:ascii="Palatino Linotype" w:hAnsi="Palatino Linotype"/>
          <w:i/>
          <w:color w:val="000000" w:themeColor="text1"/>
          <w:sz w:val="24"/>
          <w:szCs w:val="24"/>
        </w:rPr>
        <w:t xml:space="preserve">. Registros que se realizan en el SISTEMA INFORMÁTICO DE GESTIÓN INSTITUCIONAL DEL PROCEDIMIENTO PENAL EN EL ESTADO DE MÉXICO “SIGIPPEM”. Ahora bien, es preciso señalar que un NIC; es una noticia criminal, sin que genere más trámite. El NUC; es una carpeta de investigación (anteriormente llamada Averiguación Previa). Por ello, las denuncias presentadas ante el Ministerio Público de Nezahualcóyotl y publicadas en la página del Secretariado Ejecutivo del Sistema Nacional de Seguridad Pública (SESNSP); están comprendidas por los NIC y los NUC registrados. Y la Información que yo solicito; en </w:t>
      </w:r>
      <w:proofErr w:type="spellStart"/>
      <w:proofErr w:type="gramStart"/>
      <w:r w:rsidR="00EE2FD9" w:rsidRPr="00EE2FD9">
        <w:rPr>
          <w:rFonts w:ascii="Palatino Linotype" w:hAnsi="Palatino Linotype"/>
          <w:i/>
          <w:color w:val="000000" w:themeColor="text1"/>
          <w:sz w:val="24"/>
          <w:szCs w:val="24"/>
        </w:rPr>
        <w:t>especifico</w:t>
      </w:r>
      <w:proofErr w:type="spellEnd"/>
      <w:proofErr w:type="gramEnd"/>
      <w:r w:rsidR="00EE2FD9" w:rsidRPr="00EE2FD9">
        <w:rPr>
          <w:rFonts w:ascii="Palatino Linotype" w:hAnsi="Palatino Linotype"/>
          <w:i/>
          <w:color w:val="000000" w:themeColor="text1"/>
          <w:sz w:val="24"/>
          <w:szCs w:val="24"/>
        </w:rPr>
        <w:t xml:space="preserve"> son: Los número de NIC y números de NUC. Por ello, la respuesta dada por el ente obligado, no da contestación a lo solicitado. LEY DE LA FISCALÍA GENERAL DE JUSTICIA DEL ESTADO DE MÉXICO Artículo 34. El Ministerio Público tendrá, además de las funciones, atribuciones y obligaciones que le señalen la Constitución Federal, la Constitución del Estado, los instrumentos jurídicos internacionales vinculantes para el Estado Mexicano, el Código Nacional, las leyes nacionales y generales, la presente Ley y otros ordenamientos jurídicos estatales aplicables, las siguientes: A.</w:t>
      </w:r>
      <w:r w:rsidR="00EE2FD9" w:rsidRPr="00EE2FD9">
        <w:rPr>
          <w:rFonts w:ascii="Palatino Linotype" w:hAnsi="Palatino Linotype"/>
          <w:i/>
          <w:color w:val="000000" w:themeColor="text1"/>
          <w:sz w:val="24"/>
          <w:szCs w:val="24"/>
        </w:rPr>
        <w:tab/>
        <w:t xml:space="preserve">En la investigación del delito: III. Registrar sus actuaciones en el sistema informático de la Fiscalía, bajo el número interno de control o el número único de causa que genere el Ministerio Público y alimentarlo con la información requerida, de conformidad con las disposiciones jurídicas aplicables y la normatividad que emita la o el Fiscal General. ACUERDO NÚMERO 16/2016, DEL PROCURADOR GENERAL DE JUSTICIA DEL ESTADO DE MÉXICO, POR EL QUE SE INSTRUYE EL USO </w:t>
      </w:r>
      <w:r w:rsidR="00EE2FD9" w:rsidRPr="00EE2FD9">
        <w:rPr>
          <w:rFonts w:ascii="Palatino Linotype" w:hAnsi="Palatino Linotype"/>
          <w:i/>
          <w:color w:val="000000" w:themeColor="text1"/>
          <w:sz w:val="24"/>
          <w:szCs w:val="24"/>
        </w:rPr>
        <w:lastRenderedPageBreak/>
        <w:t>OBLIGATORIO DEL SISTEMA INFORMÁTICO DE GESTIÓN INSTITUCIONAL DEL PROCEDIMIENTO PENAL EN EL ESTADO DE MÉXICO “SIGIPPEM”, DE LA PROCURADURÍA GENERAL DE JUSTICIA DEL ESTADO DE MÉXICO. Instrucciones al personal operativo ARTÍCULO SEGUNDO.- Los orientadores jurídicos, agentes del Ministerio Público, Policías de Investigación, Peritos y facilitadores de justicia restaurativa de la Procuraduría General de Justicia del Estado de México, deberán utilizar y operar el SIGIPPEM en sus actividades con motivo del procedimiento penal acorde al Código Nacional de Procedimientos Penales. IV. Para iniciar un caso en el SIGIPPEM, los orientadores jurídicos o los agentes del Ministerio Público deberán generar su número interno de control (NIC) que es una clave alfanumérica de 30 dígitos en la que pueden registrar lo actuado como noticia criminal; en caso de que sea necesario realizar una carpeta de investigación se generará el número único de causa (NUC), de 28 dígitos, que será la identificación alfanumérica del caso a lo largo de todo el procedimiento penal y por ello será de uso de todos los operadores de conformidad con los convenios que al efecto se suscriban. Dichos números deberán insertarse en todas las actuaciones institucionales. La composición del NIC y del NUC se establece en el anexo uno del presente Acuerdo.</w:t>
      </w:r>
      <w:r w:rsidR="00A84F2E">
        <w:rPr>
          <w:rFonts w:ascii="Palatino Linotype" w:hAnsi="Palatino Linotype"/>
          <w:i/>
          <w:color w:val="000000" w:themeColor="text1"/>
          <w:sz w:val="24"/>
          <w:szCs w:val="24"/>
        </w:rPr>
        <w:t>”</w:t>
      </w:r>
      <w:r w:rsidRPr="00BA1B55">
        <w:rPr>
          <w:rFonts w:ascii="Palatino Linotype" w:hAnsi="Palatino Linotype"/>
          <w:i/>
          <w:color w:val="000000" w:themeColor="text1"/>
          <w:sz w:val="24"/>
          <w:szCs w:val="24"/>
        </w:rPr>
        <w:t>(Sic)</w:t>
      </w:r>
    </w:p>
    <w:p w:rsidR="005A3C0D" w:rsidRPr="004A6525" w:rsidRDefault="00EE2FD9" w:rsidP="00B26603">
      <w:pPr>
        <w:pStyle w:val="Prrafodelista"/>
        <w:numPr>
          <w:ilvl w:val="0"/>
          <w:numId w:val="6"/>
        </w:numPr>
        <w:spacing w:before="240" w:after="0" w:line="360" w:lineRule="auto"/>
        <w:contextualSpacing w:val="0"/>
        <w:jc w:val="both"/>
        <w:rPr>
          <w:rFonts w:ascii="Palatino Linotype" w:hAnsi="Palatino Linotype"/>
          <w:b/>
          <w:i/>
          <w:sz w:val="28"/>
          <w:szCs w:val="24"/>
        </w:rPr>
      </w:pPr>
      <w:r w:rsidRPr="004A6525">
        <w:rPr>
          <w:rFonts w:ascii="Palatino Linotype" w:hAnsi="Palatino Linotype" w:cs="Arial"/>
          <w:sz w:val="24"/>
        </w:rPr>
        <w:t>Adjuntando, el archivo denominado “</w:t>
      </w:r>
      <w:r w:rsidR="00A7508F" w:rsidRPr="004A6525">
        <w:rPr>
          <w:rFonts w:ascii="Palatino Linotype" w:hAnsi="Palatino Linotype" w:cs="Arial"/>
          <w:sz w:val="24"/>
        </w:rPr>
        <w:t>Acuse de respuesta a la solicitud.pdf</w:t>
      </w:r>
      <w:r w:rsidRPr="004A6525">
        <w:rPr>
          <w:rFonts w:ascii="Palatino Linotype" w:hAnsi="Palatino Linotype" w:cs="Arial"/>
          <w:sz w:val="24"/>
        </w:rPr>
        <w:t xml:space="preserve">” consistente en </w:t>
      </w:r>
      <w:r w:rsidR="00A7508F" w:rsidRPr="004A6525">
        <w:rPr>
          <w:rFonts w:ascii="Palatino Linotype" w:hAnsi="Palatino Linotype" w:cs="Arial"/>
          <w:sz w:val="24"/>
        </w:rPr>
        <w:t xml:space="preserve">la respuesta emídida por el Sujeto Obligado. </w:t>
      </w:r>
    </w:p>
    <w:p w:rsidR="00592F9D" w:rsidRPr="00922E23" w:rsidRDefault="00592F9D" w:rsidP="00592F9D">
      <w:pPr>
        <w:pStyle w:val="Prrafodelista"/>
        <w:numPr>
          <w:ilvl w:val="0"/>
          <w:numId w:val="2"/>
        </w:numPr>
        <w:spacing w:after="0" w:line="360" w:lineRule="auto"/>
        <w:ind w:left="284" w:right="34" w:hanging="284"/>
        <w:jc w:val="both"/>
        <w:rPr>
          <w:rFonts w:ascii="Palatino Linotype" w:hAnsi="Palatino Linotype"/>
          <w:sz w:val="24"/>
          <w:szCs w:val="24"/>
        </w:rPr>
      </w:pPr>
      <w:r w:rsidRPr="00922E23">
        <w:rPr>
          <w:rFonts w:ascii="Palatino Linotype" w:eastAsia="Times New Roman" w:hAnsi="Palatino Linotype" w:cs="Arial"/>
          <w:sz w:val="24"/>
          <w:szCs w:val="24"/>
        </w:rPr>
        <w:t xml:space="preserve">Se </w:t>
      </w:r>
      <w:r w:rsidRPr="00592F9D">
        <w:rPr>
          <w:rFonts w:ascii="Palatino Linotype" w:eastAsia="Times New Roman" w:hAnsi="Palatino Linotype" w:cs="Arial"/>
          <w:sz w:val="24"/>
          <w:szCs w:val="24"/>
          <w:lang w:val="es-ES"/>
        </w:rPr>
        <w:t>registraron</w:t>
      </w:r>
      <w:r w:rsidRPr="00922E23">
        <w:rPr>
          <w:rFonts w:ascii="Palatino Linotype" w:eastAsia="Times New Roman" w:hAnsi="Palatino Linotype" w:cs="Arial"/>
          <w:sz w:val="24"/>
          <w:szCs w:val="24"/>
        </w:rPr>
        <w:t xml:space="preserve"> los recursos de revisión bajo los número de expediente </w:t>
      </w:r>
      <w:r w:rsidRPr="00922E23">
        <w:rPr>
          <w:rFonts w:ascii="Palatino Linotype" w:hAnsi="Palatino Linotype" w:cs="Arial"/>
          <w:bCs/>
          <w:sz w:val="24"/>
          <w:szCs w:val="24"/>
        </w:rPr>
        <w:t xml:space="preserve">al rubro indicados, asimismo con fundamento en lo dispuesto por el </w:t>
      </w:r>
      <w:r w:rsidRPr="00922E23">
        <w:rPr>
          <w:rFonts w:ascii="Palatino Linotype" w:eastAsia="Calibri" w:hAnsi="Palatino Linotype" w:cs="Arial"/>
          <w:sz w:val="24"/>
          <w:szCs w:val="24"/>
        </w:rPr>
        <w:t xml:space="preserve">artículo 185 fracción I de la Ley de Transparencia y Acceso a la Información Pública del Estado de </w:t>
      </w:r>
      <w:r w:rsidRPr="00922E23">
        <w:rPr>
          <w:rFonts w:ascii="Palatino Linotype" w:eastAsia="Calibri" w:hAnsi="Palatino Linotype" w:cs="Arial"/>
          <w:sz w:val="24"/>
          <w:szCs w:val="24"/>
        </w:rPr>
        <w:lastRenderedPageBreak/>
        <w:t xml:space="preserve">México y Municipios </w:t>
      </w:r>
      <w:r w:rsidRPr="00922E23">
        <w:rPr>
          <w:rFonts w:ascii="Palatino Linotype" w:eastAsia="Times New Roman" w:hAnsi="Palatino Linotype" w:cs="Arial"/>
          <w:sz w:val="24"/>
          <w:szCs w:val="24"/>
        </w:rPr>
        <w:t xml:space="preserve">se turnó </w:t>
      </w:r>
      <w:r w:rsidR="003707A7">
        <w:rPr>
          <w:rFonts w:ascii="Palatino Linotype" w:eastAsia="Times New Roman" w:hAnsi="Palatino Linotype" w:cs="Arial"/>
          <w:sz w:val="24"/>
          <w:szCs w:val="24"/>
        </w:rPr>
        <w:t xml:space="preserve">el recurso de revisión número </w:t>
      </w:r>
      <w:r w:rsidR="003707A7" w:rsidRPr="00D26A0B">
        <w:rPr>
          <w:rFonts w:ascii="Palatino Linotype" w:eastAsia="Calibri" w:hAnsi="Palatino Linotype" w:cs="Arial"/>
          <w:sz w:val="24"/>
          <w:szCs w:val="24"/>
        </w:rPr>
        <w:t>0</w:t>
      </w:r>
      <w:r w:rsidR="003707A7">
        <w:rPr>
          <w:rFonts w:ascii="Palatino Linotype" w:eastAsia="Calibri" w:hAnsi="Palatino Linotype" w:cs="Arial"/>
          <w:sz w:val="24"/>
          <w:szCs w:val="24"/>
        </w:rPr>
        <w:t>2398</w:t>
      </w:r>
      <w:r w:rsidR="003707A7" w:rsidRPr="00D26A0B">
        <w:rPr>
          <w:rFonts w:ascii="Palatino Linotype" w:eastAsia="Calibri" w:hAnsi="Palatino Linotype" w:cs="Arial"/>
          <w:sz w:val="24"/>
          <w:szCs w:val="24"/>
        </w:rPr>
        <w:t xml:space="preserve">/INFOEM/IP/RR/2018 </w:t>
      </w:r>
      <w:r w:rsidRPr="00922E23">
        <w:rPr>
          <w:rFonts w:ascii="Palatino Linotype" w:eastAsia="Times New Roman" w:hAnsi="Palatino Linotype" w:cs="Arial"/>
          <w:sz w:val="24"/>
          <w:szCs w:val="24"/>
        </w:rPr>
        <w:t xml:space="preserve">al Comisionado José Guadalupe Luna Hernández </w:t>
      </w:r>
      <w:r w:rsidR="003707A7">
        <w:rPr>
          <w:rFonts w:ascii="Palatino Linotype" w:eastAsia="Times New Roman" w:hAnsi="Palatino Linotype" w:cs="Arial"/>
          <w:sz w:val="24"/>
          <w:szCs w:val="24"/>
        </w:rPr>
        <w:t xml:space="preserve">y el recurso de revisión número </w:t>
      </w:r>
      <w:r w:rsidR="003707A7" w:rsidRPr="00D26A0B">
        <w:rPr>
          <w:rFonts w:ascii="Palatino Linotype" w:eastAsia="Calibri" w:hAnsi="Palatino Linotype" w:cs="Arial"/>
          <w:sz w:val="24"/>
          <w:szCs w:val="24"/>
        </w:rPr>
        <w:t>0</w:t>
      </w:r>
      <w:r w:rsidR="003707A7">
        <w:rPr>
          <w:rFonts w:ascii="Palatino Linotype" w:eastAsia="Calibri" w:hAnsi="Palatino Linotype" w:cs="Arial"/>
          <w:sz w:val="24"/>
          <w:szCs w:val="24"/>
        </w:rPr>
        <w:t>2398</w:t>
      </w:r>
      <w:r w:rsidR="003707A7" w:rsidRPr="00D26A0B">
        <w:rPr>
          <w:rFonts w:ascii="Palatino Linotype" w:eastAsia="Calibri" w:hAnsi="Palatino Linotype" w:cs="Arial"/>
          <w:sz w:val="24"/>
          <w:szCs w:val="24"/>
        </w:rPr>
        <w:t xml:space="preserve">/INFOEM/IP/RR/2018 </w:t>
      </w:r>
      <w:r w:rsidR="003707A7" w:rsidRPr="00922E23">
        <w:rPr>
          <w:rFonts w:ascii="Palatino Linotype" w:eastAsia="Times New Roman" w:hAnsi="Palatino Linotype" w:cs="Arial"/>
          <w:sz w:val="24"/>
          <w:szCs w:val="24"/>
        </w:rPr>
        <w:t>al Comisionado</w:t>
      </w:r>
      <w:r w:rsidR="003707A7">
        <w:rPr>
          <w:rFonts w:ascii="Palatino Linotype" w:eastAsia="Times New Roman" w:hAnsi="Palatino Linotype" w:cs="Arial"/>
          <w:sz w:val="24"/>
          <w:szCs w:val="24"/>
        </w:rPr>
        <w:t xml:space="preserve"> Javier Martínez Cruz</w:t>
      </w:r>
      <w:r w:rsidR="003707A7" w:rsidRPr="00922E23">
        <w:rPr>
          <w:rFonts w:ascii="Palatino Linotype" w:eastAsia="Times New Roman" w:hAnsi="Palatino Linotype" w:cs="Arial"/>
          <w:sz w:val="24"/>
          <w:szCs w:val="24"/>
        </w:rPr>
        <w:t xml:space="preserve"> </w:t>
      </w:r>
      <w:r w:rsidRPr="00922E23">
        <w:rPr>
          <w:rFonts w:ascii="Palatino Linotype" w:eastAsia="Times New Roman" w:hAnsi="Palatino Linotype" w:cs="Arial"/>
          <w:sz w:val="24"/>
          <w:szCs w:val="24"/>
        </w:rPr>
        <w:t xml:space="preserve">con </w:t>
      </w:r>
      <w:r w:rsidRPr="00D26A0B">
        <w:rPr>
          <w:rFonts w:ascii="Palatino Linotype" w:eastAsia="Times New Roman" w:hAnsi="Palatino Linotype" w:cs="Arial"/>
          <w:sz w:val="24"/>
          <w:szCs w:val="24"/>
        </w:rPr>
        <w:t xml:space="preserve">el objeto de su análisis; posteriormente </w:t>
      </w:r>
      <w:r w:rsidRPr="00D26A0B">
        <w:rPr>
          <w:rFonts w:ascii="Palatino Linotype" w:eastAsia="MS Mincho" w:hAnsi="Palatino Linotype" w:cs="Arial"/>
          <w:sz w:val="24"/>
          <w:szCs w:val="24"/>
        </w:rPr>
        <w:t xml:space="preserve">el Pleno de este Órgano Autónomo, en la </w:t>
      </w:r>
      <w:r>
        <w:rPr>
          <w:rFonts w:ascii="Palatino Linotype" w:eastAsia="MS Mincho" w:hAnsi="Palatino Linotype" w:cs="Arial"/>
          <w:sz w:val="24"/>
          <w:szCs w:val="24"/>
        </w:rPr>
        <w:t>Vigésimo Quinta</w:t>
      </w:r>
      <w:r w:rsidRPr="00D26A0B">
        <w:rPr>
          <w:rFonts w:ascii="Palatino Linotype" w:eastAsia="MS Mincho" w:hAnsi="Palatino Linotype" w:cs="Arial"/>
          <w:sz w:val="24"/>
          <w:szCs w:val="24"/>
        </w:rPr>
        <w:t xml:space="preserve"> Sesión Ordinaria de fecha </w:t>
      </w:r>
      <w:r>
        <w:rPr>
          <w:rFonts w:ascii="Palatino Linotype" w:eastAsia="MS Mincho" w:hAnsi="Palatino Linotype" w:cs="Arial"/>
          <w:sz w:val="24"/>
          <w:szCs w:val="24"/>
        </w:rPr>
        <w:t>cuatro (04) de julio</w:t>
      </w:r>
      <w:r w:rsidRPr="00D26A0B">
        <w:rPr>
          <w:rFonts w:ascii="Palatino Linotype" w:eastAsia="MS Mincho" w:hAnsi="Palatino Linotype" w:cs="Arial"/>
          <w:sz w:val="24"/>
          <w:szCs w:val="24"/>
        </w:rPr>
        <w:t xml:space="preserve"> de dos mil dieciocho, ordenó la acumulación de los recursos de revisión </w:t>
      </w:r>
      <w:r w:rsidRPr="00D26A0B">
        <w:rPr>
          <w:rFonts w:ascii="Palatino Linotype" w:eastAsia="Calibri" w:hAnsi="Palatino Linotype" w:cs="Arial"/>
          <w:sz w:val="24"/>
          <w:szCs w:val="24"/>
        </w:rPr>
        <w:t>0</w:t>
      </w:r>
      <w:r>
        <w:rPr>
          <w:rFonts w:ascii="Palatino Linotype" w:eastAsia="Calibri" w:hAnsi="Palatino Linotype" w:cs="Arial"/>
          <w:sz w:val="24"/>
          <w:szCs w:val="24"/>
        </w:rPr>
        <w:t>2398</w:t>
      </w:r>
      <w:r w:rsidRPr="00D26A0B">
        <w:rPr>
          <w:rFonts w:ascii="Palatino Linotype" w:eastAsia="Calibri" w:hAnsi="Palatino Linotype" w:cs="Arial"/>
          <w:sz w:val="24"/>
          <w:szCs w:val="24"/>
        </w:rPr>
        <w:t>/INFOEM/IP/RR/2018 y</w:t>
      </w:r>
      <w:r>
        <w:rPr>
          <w:rFonts w:ascii="Palatino Linotype" w:eastAsia="Calibri" w:hAnsi="Palatino Linotype" w:cs="Arial"/>
          <w:sz w:val="24"/>
          <w:szCs w:val="24"/>
        </w:rPr>
        <w:t xml:space="preserve"> </w:t>
      </w:r>
      <w:r w:rsidRPr="00D26A0B">
        <w:rPr>
          <w:rFonts w:ascii="Palatino Linotype" w:eastAsia="Calibri" w:hAnsi="Palatino Linotype" w:cs="Arial"/>
          <w:sz w:val="24"/>
          <w:szCs w:val="24"/>
        </w:rPr>
        <w:t>0</w:t>
      </w:r>
      <w:r>
        <w:rPr>
          <w:rFonts w:ascii="Palatino Linotype" w:eastAsia="Calibri" w:hAnsi="Palatino Linotype" w:cs="Arial"/>
          <w:sz w:val="24"/>
          <w:szCs w:val="24"/>
        </w:rPr>
        <w:t>2399</w:t>
      </w:r>
      <w:r w:rsidRPr="00D26A0B">
        <w:rPr>
          <w:rFonts w:ascii="Palatino Linotype" w:eastAsia="Calibri" w:hAnsi="Palatino Linotype" w:cs="Arial"/>
          <w:sz w:val="24"/>
          <w:szCs w:val="24"/>
        </w:rPr>
        <w:t xml:space="preserve">/INFOEM/IP/RR/2018 </w:t>
      </w:r>
      <w:r w:rsidRPr="00D26A0B">
        <w:rPr>
          <w:rFonts w:ascii="Palatino Linotype" w:eastAsia="MS Mincho" w:hAnsi="Palatino Linotype" w:cs="Arial"/>
          <w:sz w:val="24"/>
          <w:szCs w:val="24"/>
        </w:rPr>
        <w:t>a efecto de que ésta Ponencia formulara y presentara el proyecto</w:t>
      </w:r>
      <w:r w:rsidRPr="00922E23">
        <w:rPr>
          <w:rFonts w:ascii="Palatino Linotype" w:eastAsia="MS Mincho" w:hAnsi="Palatino Linotype" w:cs="Arial"/>
          <w:sz w:val="24"/>
          <w:szCs w:val="24"/>
        </w:rPr>
        <w:t xml:space="preserve"> de resolución correspondiente y </w:t>
      </w:r>
      <w:r w:rsidRPr="00922E23">
        <w:rPr>
          <w:rFonts w:ascii="Palatino Linotype" w:eastAsia="Times New Roman" w:hAnsi="Palatino Linotype" w:cs="Arial"/>
          <w:sz w:val="24"/>
          <w:szCs w:val="24"/>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rsidR="00592F9D" w:rsidRPr="00922E23" w:rsidRDefault="00592F9D" w:rsidP="00592F9D">
      <w:pPr>
        <w:spacing w:line="360" w:lineRule="auto"/>
        <w:ind w:left="851" w:right="616"/>
        <w:jc w:val="both"/>
        <w:rPr>
          <w:rFonts w:ascii="Palatino Linotype" w:hAnsi="Palatino Linotype"/>
          <w:i/>
          <w:color w:val="000000"/>
        </w:rPr>
      </w:pPr>
      <w:r w:rsidRPr="00922E23">
        <w:rPr>
          <w:rFonts w:ascii="Palatino Linotype" w:hAnsi="Palatino Linotype"/>
          <w:i/>
          <w:color w:val="000000"/>
        </w:rPr>
        <w:t>ONCE. El Instituto, para mejor resolver y evitar la emisión de resoluciones contradictorias, podrá acordar la acumulación de los expedientes de recursos de revisión, de oficio o a petición de parte cuando:</w:t>
      </w:r>
    </w:p>
    <w:p w:rsidR="00592F9D" w:rsidRPr="00922E23" w:rsidRDefault="00592F9D" w:rsidP="00592F9D">
      <w:pPr>
        <w:spacing w:line="360" w:lineRule="auto"/>
        <w:ind w:left="851" w:right="616"/>
        <w:jc w:val="both"/>
        <w:rPr>
          <w:rFonts w:ascii="Palatino Linotype" w:hAnsi="Palatino Linotype"/>
          <w:i/>
          <w:color w:val="000000"/>
        </w:rPr>
      </w:pPr>
      <w:r w:rsidRPr="00922E23">
        <w:rPr>
          <w:rFonts w:ascii="Palatino Linotype" w:hAnsi="Palatino Linotype"/>
          <w:i/>
          <w:color w:val="000000"/>
        </w:rPr>
        <w:t>a) El solicitante y la información referida sean las mismas;</w:t>
      </w:r>
    </w:p>
    <w:p w:rsidR="00592F9D" w:rsidRPr="00922E23" w:rsidRDefault="00592F9D" w:rsidP="00592F9D">
      <w:pPr>
        <w:spacing w:line="360" w:lineRule="auto"/>
        <w:ind w:left="851" w:right="616"/>
        <w:jc w:val="both"/>
        <w:rPr>
          <w:rFonts w:ascii="Palatino Linotype" w:hAnsi="Palatino Linotype"/>
          <w:b/>
          <w:i/>
          <w:color w:val="000000"/>
        </w:rPr>
      </w:pPr>
      <w:r w:rsidRPr="00922E23">
        <w:rPr>
          <w:rFonts w:ascii="Palatino Linotype" w:hAnsi="Palatino Linotype"/>
          <w:b/>
          <w:i/>
          <w:color w:val="000000"/>
        </w:rPr>
        <w:t xml:space="preserve">b) Las partes o los actos impugnados sean iguales: </w:t>
      </w:r>
    </w:p>
    <w:p w:rsidR="00592F9D" w:rsidRPr="00922E23" w:rsidRDefault="00592F9D" w:rsidP="00592F9D">
      <w:pPr>
        <w:spacing w:line="360" w:lineRule="auto"/>
        <w:ind w:left="851" w:right="616"/>
        <w:jc w:val="both"/>
        <w:rPr>
          <w:rFonts w:ascii="Palatino Linotype" w:hAnsi="Palatino Linotype"/>
          <w:i/>
          <w:color w:val="000000"/>
        </w:rPr>
      </w:pPr>
      <w:r w:rsidRPr="00922E23">
        <w:rPr>
          <w:rFonts w:ascii="Palatino Linotype" w:hAnsi="Palatino Linotype"/>
          <w:i/>
          <w:color w:val="000000"/>
        </w:rPr>
        <w:t>c) Cuando se trate del mismo solicitante, el mismo SUJETO OBLIGADO, aunque se trate de solicitudes diversas;</w:t>
      </w:r>
    </w:p>
    <w:p w:rsidR="00592F9D" w:rsidRPr="00922E23" w:rsidRDefault="00592F9D" w:rsidP="00592F9D">
      <w:pPr>
        <w:spacing w:line="360" w:lineRule="auto"/>
        <w:ind w:left="851" w:right="616"/>
        <w:jc w:val="both"/>
        <w:rPr>
          <w:rFonts w:ascii="Palatino Linotype" w:hAnsi="Palatino Linotype"/>
          <w:b/>
          <w:i/>
          <w:color w:val="000000"/>
        </w:rPr>
      </w:pPr>
      <w:r w:rsidRPr="00922E23">
        <w:rPr>
          <w:rFonts w:ascii="Palatino Linotype" w:hAnsi="Palatino Linotype"/>
          <w:b/>
          <w:i/>
          <w:color w:val="000000"/>
        </w:rPr>
        <w:t>d) Resulte conveniente la resolución unificada de los asuntos; y</w:t>
      </w:r>
    </w:p>
    <w:p w:rsidR="00592F9D" w:rsidRPr="00922E23" w:rsidRDefault="00592F9D" w:rsidP="00592F9D">
      <w:pPr>
        <w:spacing w:line="360" w:lineRule="auto"/>
        <w:ind w:left="851" w:right="616"/>
        <w:jc w:val="both"/>
        <w:rPr>
          <w:rFonts w:ascii="Palatino Linotype" w:hAnsi="Palatino Linotype"/>
          <w:i/>
          <w:color w:val="000000"/>
        </w:rPr>
      </w:pPr>
      <w:r w:rsidRPr="00922E23">
        <w:rPr>
          <w:rFonts w:ascii="Palatino Linotype" w:hAnsi="Palatino Linotype"/>
          <w:i/>
          <w:color w:val="000000"/>
        </w:rPr>
        <w:lastRenderedPageBreak/>
        <w:t>e) En cualquier otro caso que determine el Pleno.</w:t>
      </w:r>
    </w:p>
    <w:p w:rsidR="00592F9D" w:rsidRPr="00922E23" w:rsidRDefault="00592F9D" w:rsidP="00592F9D">
      <w:pPr>
        <w:spacing w:line="360" w:lineRule="auto"/>
        <w:ind w:left="851" w:right="616"/>
        <w:jc w:val="both"/>
        <w:rPr>
          <w:rFonts w:ascii="Palatino Linotype" w:hAnsi="Palatino Linotype"/>
          <w:i/>
          <w:color w:val="000000"/>
        </w:rPr>
      </w:pPr>
      <w:r w:rsidRPr="00922E23">
        <w:rPr>
          <w:rFonts w:ascii="Palatino Linotype" w:hAnsi="Palatino Linotype"/>
          <w:i/>
          <w:color w:val="000000"/>
        </w:rPr>
        <w:t>La misma regla se aplicará, en lo conducente, para la separación de los expedientes.</w:t>
      </w:r>
    </w:p>
    <w:p w:rsidR="00592F9D" w:rsidRPr="00922E23" w:rsidRDefault="00592F9D" w:rsidP="00641EEC">
      <w:pPr>
        <w:pStyle w:val="Prrafodelista"/>
        <w:numPr>
          <w:ilvl w:val="0"/>
          <w:numId w:val="2"/>
        </w:numPr>
        <w:spacing w:before="240" w:line="360" w:lineRule="auto"/>
        <w:ind w:left="284" w:right="34" w:hanging="284"/>
        <w:jc w:val="both"/>
        <w:rPr>
          <w:rFonts w:ascii="Palatino Linotype" w:eastAsia="MS Mincho" w:hAnsi="Palatino Linotype" w:cs="Times New Roman"/>
          <w:sz w:val="24"/>
        </w:rPr>
      </w:pPr>
      <w:r w:rsidRPr="00922E23">
        <w:rPr>
          <w:rFonts w:ascii="Palatino Linotype" w:eastAsia="MS Mincho" w:hAnsi="Palatino Linotype" w:cs="Arial"/>
          <w:color w:val="000000"/>
          <w:sz w:val="24"/>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w:t>
      </w:r>
      <w:r w:rsidRPr="00922E23">
        <w:rPr>
          <w:rFonts w:ascii="Palatino Linotype" w:eastAsia="MS Mincho" w:hAnsi="Palatino Linotype" w:cs="Times New Roman"/>
          <w:sz w:val="24"/>
        </w:rPr>
        <w:t>la Ley de Transparencia y Acceso a la Información Pública del Estado de México y Municipios en vigor, que a la letra señalan:</w:t>
      </w:r>
    </w:p>
    <w:p w:rsidR="00592F9D" w:rsidRPr="00922E23" w:rsidRDefault="00592F9D" w:rsidP="00592F9D">
      <w:pPr>
        <w:spacing w:line="360" w:lineRule="auto"/>
        <w:ind w:left="851" w:right="902"/>
        <w:jc w:val="center"/>
        <w:rPr>
          <w:rFonts w:ascii="Palatino Linotype" w:eastAsia="MS Mincho" w:hAnsi="Palatino Linotype" w:cs="Arial"/>
          <w:b/>
          <w:i/>
        </w:rPr>
      </w:pPr>
      <w:r w:rsidRPr="00922E23">
        <w:rPr>
          <w:rFonts w:ascii="Palatino Linotype" w:eastAsia="MS Mincho" w:hAnsi="Palatino Linotype" w:cs="Arial"/>
          <w:b/>
          <w:i/>
        </w:rPr>
        <w:t>Código de Procedimientos Administrativos del Estado de México</w:t>
      </w:r>
    </w:p>
    <w:p w:rsidR="00592F9D" w:rsidRPr="00922E23" w:rsidRDefault="00592F9D" w:rsidP="00592F9D">
      <w:pPr>
        <w:spacing w:line="360" w:lineRule="auto"/>
        <w:ind w:left="851" w:right="902"/>
        <w:jc w:val="both"/>
        <w:rPr>
          <w:rFonts w:ascii="Palatino Linotype" w:eastAsia="MS Mincho" w:hAnsi="Palatino Linotype" w:cs="Arial"/>
          <w:i/>
        </w:rPr>
      </w:pPr>
      <w:r w:rsidRPr="00922E23">
        <w:rPr>
          <w:rFonts w:ascii="Palatino Linotype" w:eastAsia="MS Mincho" w:hAnsi="Palatino Linotype" w:cs="Arial"/>
          <w:i/>
        </w:rPr>
        <w:t>“</w:t>
      </w:r>
      <w:r w:rsidRPr="00922E23">
        <w:rPr>
          <w:rFonts w:ascii="Palatino Linotype" w:eastAsia="MS Mincho" w:hAnsi="Palatino Linotype" w:cs="Arial"/>
          <w:b/>
          <w:i/>
        </w:rPr>
        <w:t>Artículo 18</w:t>
      </w:r>
      <w:r w:rsidRPr="00922E23">
        <w:rPr>
          <w:rFonts w:ascii="Palatino Linotype" w:eastAsia="MS Mincho" w:hAnsi="Palatino Linotype" w:cs="Arial"/>
          <w:i/>
        </w:rPr>
        <w:t xml:space="preserve">.- </w:t>
      </w:r>
      <w:r w:rsidRPr="00922E23">
        <w:rPr>
          <w:rFonts w:ascii="Palatino Linotype" w:eastAsia="MS Mincho" w:hAnsi="Palatino Linotype" w:cs="Arial"/>
          <w:b/>
          <w:i/>
        </w:rPr>
        <w:t xml:space="preserve">La autoridad administrativa o el Tribunal </w:t>
      </w:r>
      <w:r w:rsidRPr="00922E23">
        <w:rPr>
          <w:rFonts w:ascii="Palatino Linotype" w:eastAsia="MS Mincho" w:hAnsi="Palatino Linotype" w:cs="Arial"/>
          <w:b/>
          <w:i/>
          <w:u w:val="single"/>
        </w:rPr>
        <w:t>acordarán la acumulación de los expedientes</w:t>
      </w:r>
      <w:r w:rsidRPr="00922E23">
        <w:rPr>
          <w:rFonts w:ascii="Palatino Linotype" w:eastAsia="MS Mincho" w:hAnsi="Palatino Linotype" w:cs="Arial"/>
          <w:b/>
          <w:i/>
        </w:rPr>
        <w:t xml:space="preserve"> del procedimiento y proceso administrativo que ante ellos se sigan, de oficio</w:t>
      </w:r>
      <w:r w:rsidRPr="00922E23">
        <w:rPr>
          <w:rFonts w:ascii="Palatino Linotype" w:eastAsia="MS Mincho" w:hAnsi="Palatino Linotype" w:cs="Arial"/>
          <w:i/>
        </w:rPr>
        <w:t xml:space="preserve"> o a petición de parte, </w:t>
      </w:r>
      <w:r w:rsidRPr="00922E23">
        <w:rPr>
          <w:rFonts w:ascii="Palatino Linotype" w:eastAsia="MS Mincho" w:hAnsi="Palatino Linotype" w:cs="Arial"/>
          <w:b/>
          <w:i/>
          <w:u w:val="single"/>
        </w:rPr>
        <w:t>cuando las partes</w:t>
      </w:r>
      <w:r w:rsidRPr="00922E23">
        <w:rPr>
          <w:rFonts w:ascii="Palatino Linotype" w:eastAsia="MS Mincho" w:hAnsi="Palatino Linotype" w:cs="Arial"/>
          <w:i/>
        </w:rPr>
        <w:t xml:space="preserve"> o los actos administrativos </w:t>
      </w:r>
      <w:r w:rsidRPr="00922E23">
        <w:rPr>
          <w:rFonts w:ascii="Palatino Linotype" w:eastAsia="MS Mincho" w:hAnsi="Palatino Linotype" w:cs="Arial"/>
          <w:b/>
          <w:i/>
          <w:u w:val="single"/>
        </w:rPr>
        <w:t>sean iguales</w:t>
      </w:r>
      <w:r w:rsidRPr="00922E23">
        <w:rPr>
          <w:rFonts w:ascii="Palatino Linotype" w:eastAsia="MS Mincho" w:hAnsi="Palatino Linotype" w:cs="Arial"/>
          <w:i/>
        </w:rPr>
        <w:t xml:space="preserve">, se trate de actos conexos o </w:t>
      </w:r>
      <w:r w:rsidRPr="00922E23">
        <w:rPr>
          <w:rFonts w:ascii="Palatino Linotype" w:eastAsia="MS Mincho" w:hAnsi="Palatino Linotype" w:cs="Arial"/>
          <w:b/>
          <w:i/>
          <w:u w:val="single"/>
        </w:rPr>
        <w:t>resulte conveniente el trámite unificado de los asuntos, para evitar la emisión de resoluciones contradictorias</w:t>
      </w:r>
      <w:r w:rsidRPr="00922E23">
        <w:rPr>
          <w:rFonts w:ascii="Palatino Linotype" w:eastAsia="MS Mincho" w:hAnsi="Palatino Linotype" w:cs="Arial"/>
          <w:i/>
        </w:rPr>
        <w:t>. La misma regla se aplicará, en lo conducente, para la separación de los expedientes.”</w:t>
      </w:r>
    </w:p>
    <w:p w:rsidR="00592F9D" w:rsidRPr="00922E23" w:rsidRDefault="00592F9D" w:rsidP="00592F9D">
      <w:pPr>
        <w:spacing w:line="360" w:lineRule="auto"/>
        <w:ind w:left="851" w:right="902"/>
        <w:jc w:val="both"/>
        <w:rPr>
          <w:rFonts w:ascii="Palatino Linotype" w:eastAsia="MS Mincho" w:hAnsi="Palatino Linotype" w:cs="Arial"/>
          <w:i/>
        </w:rPr>
      </w:pPr>
    </w:p>
    <w:p w:rsidR="00592F9D" w:rsidRPr="00922E23" w:rsidRDefault="00592F9D" w:rsidP="00592F9D">
      <w:pPr>
        <w:spacing w:line="360" w:lineRule="auto"/>
        <w:ind w:left="2268" w:right="2175"/>
        <w:jc w:val="center"/>
        <w:rPr>
          <w:rFonts w:ascii="Palatino Linotype" w:eastAsia="MS Mincho" w:hAnsi="Palatino Linotype" w:cs="Arial"/>
          <w:b/>
          <w:i/>
        </w:rPr>
      </w:pPr>
      <w:r w:rsidRPr="00922E23">
        <w:rPr>
          <w:rFonts w:ascii="Palatino Linotype" w:eastAsia="MS Mincho" w:hAnsi="Palatino Linotype" w:cs="Arial"/>
          <w:b/>
          <w:i/>
        </w:rPr>
        <w:t xml:space="preserve">Ley de Transparencia y Acceso a la Información Pública del Estado de México y Municipios </w:t>
      </w:r>
    </w:p>
    <w:p w:rsidR="00592F9D" w:rsidRPr="00922E23" w:rsidRDefault="00592F9D" w:rsidP="00592F9D">
      <w:pPr>
        <w:spacing w:line="360" w:lineRule="auto"/>
        <w:ind w:left="851" w:right="902"/>
        <w:jc w:val="both"/>
        <w:rPr>
          <w:rFonts w:ascii="Palatino Linotype" w:eastAsia="MS Mincho" w:hAnsi="Palatino Linotype" w:cs="Arial"/>
          <w:i/>
        </w:rPr>
      </w:pPr>
      <w:r w:rsidRPr="00922E23">
        <w:rPr>
          <w:rFonts w:ascii="Palatino Linotype" w:eastAsia="MS Mincho" w:hAnsi="Palatino Linotype" w:cs="Arial"/>
          <w:i/>
        </w:rPr>
        <w:lastRenderedPageBreak/>
        <w:t>“</w:t>
      </w:r>
      <w:r w:rsidRPr="00922E23">
        <w:rPr>
          <w:rFonts w:ascii="Palatino Linotype" w:eastAsia="MS Mincho" w:hAnsi="Palatino Linotype" w:cs="Arial"/>
          <w:b/>
          <w:i/>
        </w:rPr>
        <w:t xml:space="preserve">Artículo 195. </w:t>
      </w:r>
      <w:r w:rsidRPr="00922E23">
        <w:rPr>
          <w:rFonts w:ascii="Palatino Linotype" w:eastAsia="MS Mincho" w:hAnsi="Palatino Linotype" w:cs="Arial"/>
          <w:i/>
        </w:rPr>
        <w:t>En la tramitación del recurso de revisión se aplicarán supletoriamente las disposiciones contenidas en el Código de Procedimientos Administrativos del Estado de México.”</w:t>
      </w:r>
    </w:p>
    <w:p w:rsidR="00592F9D" w:rsidRPr="00922E23" w:rsidRDefault="00592F9D" w:rsidP="00592F9D">
      <w:pPr>
        <w:spacing w:line="360" w:lineRule="auto"/>
        <w:ind w:left="851" w:right="902"/>
        <w:jc w:val="both"/>
        <w:rPr>
          <w:rFonts w:ascii="Palatino Linotype" w:eastAsia="MS Mincho" w:hAnsi="Palatino Linotype" w:cs="Arial"/>
        </w:rPr>
      </w:pPr>
      <w:r w:rsidRPr="00922E23">
        <w:rPr>
          <w:rFonts w:ascii="Palatino Linotype" w:eastAsia="MS Mincho" w:hAnsi="Palatino Linotype" w:cs="Arial"/>
        </w:rPr>
        <w:t>(Énfasis añadido)</w:t>
      </w:r>
    </w:p>
    <w:p w:rsidR="00592F9D" w:rsidRPr="00D6397D" w:rsidRDefault="00592F9D" w:rsidP="00641EEC">
      <w:pPr>
        <w:pStyle w:val="Prrafodelista"/>
        <w:numPr>
          <w:ilvl w:val="0"/>
          <w:numId w:val="2"/>
        </w:numPr>
        <w:spacing w:before="240" w:line="360" w:lineRule="auto"/>
        <w:ind w:left="284" w:right="34" w:hanging="284"/>
        <w:jc w:val="both"/>
        <w:rPr>
          <w:rFonts w:ascii="Palatino Linotype" w:hAnsi="Palatino Linotype"/>
          <w:i/>
          <w:color w:val="000000"/>
          <w:sz w:val="24"/>
          <w:szCs w:val="24"/>
        </w:rPr>
      </w:pPr>
      <w:r w:rsidRPr="00922E23">
        <w:rPr>
          <w:rFonts w:ascii="Palatino Linotype" w:eastAsia="Calibri" w:hAnsi="Palatino Linotype" w:cs="Arial"/>
          <w:sz w:val="24"/>
          <w:szCs w:val="24"/>
        </w:rPr>
        <w:t xml:space="preserve">El </w:t>
      </w:r>
      <w:r w:rsidRPr="00641EEC">
        <w:rPr>
          <w:rFonts w:ascii="Palatino Linotype" w:eastAsia="MS Mincho" w:hAnsi="Palatino Linotype" w:cs="Arial"/>
          <w:color w:val="000000"/>
          <w:sz w:val="24"/>
        </w:rPr>
        <w:t>Comisionado</w:t>
      </w:r>
      <w:r w:rsidRPr="00922E23">
        <w:rPr>
          <w:rFonts w:ascii="Palatino Linotype" w:eastAsia="Calibri" w:hAnsi="Palatino Linotype" w:cs="Arial"/>
          <w:sz w:val="24"/>
          <w:szCs w:val="24"/>
        </w:rPr>
        <w:t xml:space="preserve"> Ponente con fundamento en lo dispuesto por el artículo 185 </w:t>
      </w:r>
      <w:r w:rsidRPr="00F255A9">
        <w:rPr>
          <w:rFonts w:ascii="Palatino Linotype" w:eastAsia="Calibri" w:hAnsi="Palatino Linotype" w:cs="Arial"/>
          <w:sz w:val="24"/>
          <w:szCs w:val="24"/>
        </w:rPr>
        <w:t xml:space="preserve">fracción II de la ley de la materia, a través de acuerdos de admisión de fecha </w:t>
      </w:r>
      <w:r w:rsidR="00641EEC">
        <w:rPr>
          <w:rFonts w:ascii="Palatino Linotype" w:eastAsia="Calibri" w:hAnsi="Palatino Linotype" w:cs="Arial"/>
          <w:sz w:val="24"/>
          <w:szCs w:val="24"/>
        </w:rPr>
        <w:t>tres (03) de julio</w:t>
      </w:r>
      <w:r w:rsidRPr="00F255A9">
        <w:rPr>
          <w:rFonts w:ascii="Palatino Linotype" w:eastAsia="Calibri" w:hAnsi="Palatino Linotype" w:cs="Arial"/>
          <w:sz w:val="24"/>
          <w:szCs w:val="24"/>
        </w:rPr>
        <w:t xml:space="preserve"> de dos mil dieciocho puso a disposición de las partes el expediente electrónico vía Sistema de Acceso</w:t>
      </w:r>
      <w:r w:rsidRPr="00922E23">
        <w:rPr>
          <w:rFonts w:ascii="Palatino Linotype" w:eastAsia="Calibri" w:hAnsi="Palatino Linotype" w:cs="Arial"/>
          <w:sz w:val="24"/>
          <w:szCs w:val="24"/>
        </w:rPr>
        <w:t xml:space="preserve"> a la Información Mexiquense </w:t>
      </w:r>
      <w:r w:rsidRPr="00922E23">
        <w:rPr>
          <w:rFonts w:ascii="Palatino Linotype" w:eastAsia="Calibri" w:hAnsi="Palatino Linotype" w:cs="Arial"/>
          <w:b/>
          <w:sz w:val="24"/>
          <w:szCs w:val="24"/>
        </w:rPr>
        <w:t xml:space="preserve">SAIMEX </w:t>
      </w:r>
      <w:r w:rsidRPr="00922E23">
        <w:rPr>
          <w:rFonts w:ascii="Palatino Linotype" w:eastAsia="Calibri" w:hAnsi="Palatino Linotype" w:cs="Arial"/>
          <w:sz w:val="24"/>
          <w:szCs w:val="24"/>
        </w:rPr>
        <w:t xml:space="preserve">a efecto de que en un plazo máximo de siete días manifestaran lo que a derecho convinieran, ofrecieran pruebas y alegatos según corresponda al caso concreto, de esta forma para que el </w:t>
      </w:r>
      <w:r w:rsidRPr="00922E23">
        <w:rPr>
          <w:rFonts w:ascii="Palatino Linotype" w:eastAsia="Calibri" w:hAnsi="Palatino Linotype" w:cs="Arial"/>
          <w:b/>
          <w:sz w:val="24"/>
          <w:szCs w:val="24"/>
        </w:rPr>
        <w:t>SUJETO OBLIGADO</w:t>
      </w:r>
      <w:r w:rsidRPr="00922E23">
        <w:rPr>
          <w:rFonts w:ascii="Palatino Linotype" w:eastAsia="Calibri" w:hAnsi="Palatino Linotype" w:cs="Arial"/>
          <w:sz w:val="24"/>
          <w:szCs w:val="24"/>
        </w:rPr>
        <w:t xml:space="preserve"> presentará el Informe Justificado procedente.</w:t>
      </w:r>
    </w:p>
    <w:p w:rsidR="00592F9D" w:rsidRPr="00922E23" w:rsidRDefault="00592F9D" w:rsidP="003707A7">
      <w:pPr>
        <w:pStyle w:val="Prrafodelista"/>
        <w:spacing w:after="0" w:line="240" w:lineRule="auto"/>
        <w:ind w:left="426"/>
        <w:jc w:val="both"/>
        <w:rPr>
          <w:rFonts w:ascii="Palatino Linotype" w:hAnsi="Palatino Linotype"/>
          <w:i/>
          <w:color w:val="000000"/>
          <w:sz w:val="24"/>
          <w:szCs w:val="24"/>
        </w:rPr>
      </w:pPr>
    </w:p>
    <w:p w:rsidR="004A6525" w:rsidRPr="004A6525" w:rsidRDefault="00592F9D" w:rsidP="00641EEC">
      <w:pPr>
        <w:pStyle w:val="Prrafodelista"/>
        <w:numPr>
          <w:ilvl w:val="0"/>
          <w:numId w:val="2"/>
        </w:numPr>
        <w:spacing w:before="240" w:line="360" w:lineRule="auto"/>
        <w:ind w:left="284" w:right="34" w:hanging="284"/>
        <w:jc w:val="both"/>
        <w:rPr>
          <w:rFonts w:ascii="Palatino Linotype" w:hAnsi="Palatino Linotype"/>
          <w:i/>
        </w:rPr>
      </w:pPr>
      <w:r w:rsidRPr="001C26CD">
        <w:rPr>
          <w:rFonts w:ascii="Palatino Linotype" w:eastAsia="Calibri" w:hAnsi="Palatino Linotype" w:cs="Arial"/>
          <w:sz w:val="24"/>
          <w:szCs w:val="24"/>
        </w:rPr>
        <w:t xml:space="preserve">El día </w:t>
      </w:r>
      <w:r w:rsidR="004A6525">
        <w:rPr>
          <w:rFonts w:ascii="Palatino Linotype" w:eastAsia="MS Mincho" w:hAnsi="Palatino Linotype" w:cs="Arial"/>
          <w:color w:val="000000"/>
          <w:sz w:val="24"/>
        </w:rPr>
        <w:t>cuatro (04) de julio</w:t>
      </w:r>
      <w:r w:rsidR="004A6525">
        <w:rPr>
          <w:rFonts w:ascii="Palatino Linotype" w:eastAsia="Calibri" w:hAnsi="Palatino Linotype" w:cs="Arial"/>
          <w:sz w:val="24"/>
          <w:szCs w:val="24"/>
        </w:rPr>
        <w:t xml:space="preserve"> de dos mil dieciocho el ahora </w:t>
      </w:r>
      <w:r w:rsidR="004A6525" w:rsidRPr="004A6525">
        <w:rPr>
          <w:rFonts w:ascii="Palatino Linotype" w:eastAsia="Calibri" w:hAnsi="Palatino Linotype" w:cs="Arial"/>
          <w:b/>
          <w:sz w:val="24"/>
          <w:szCs w:val="24"/>
        </w:rPr>
        <w:t>RECURRENTE</w:t>
      </w:r>
      <w:r w:rsidR="004A6525">
        <w:rPr>
          <w:rFonts w:ascii="Palatino Linotype" w:eastAsia="Calibri" w:hAnsi="Palatino Linotype" w:cs="Arial"/>
          <w:sz w:val="24"/>
          <w:szCs w:val="24"/>
        </w:rPr>
        <w:t xml:space="preserve"> presentó sus respectivas manifestaciones, como a continuación se indica,: </w:t>
      </w:r>
    </w:p>
    <w:p w:rsidR="004A6525" w:rsidRPr="004A6525" w:rsidRDefault="004A6525" w:rsidP="003707A7">
      <w:pPr>
        <w:pStyle w:val="Prrafodelista"/>
        <w:spacing w:before="240" w:line="360" w:lineRule="auto"/>
        <w:ind w:left="142" w:right="34"/>
        <w:jc w:val="center"/>
        <w:rPr>
          <w:rFonts w:ascii="Palatino Linotype" w:hAnsi="Palatino Linotype"/>
          <w:i/>
        </w:rPr>
      </w:pPr>
      <w:r>
        <w:rPr>
          <w:noProof/>
          <w:lang w:eastAsia="es-MX"/>
        </w:rPr>
        <w:drawing>
          <wp:inline distT="0" distB="0" distL="0" distR="0" wp14:anchorId="5335E6BE" wp14:editId="3E5CD82D">
            <wp:extent cx="5627339" cy="8666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63" t="27613" r="51133" b="59983"/>
                    <a:stretch/>
                  </pic:blipFill>
                  <pic:spPr bwMode="auto">
                    <a:xfrm>
                      <a:off x="0" y="0"/>
                      <a:ext cx="5793410" cy="892269"/>
                    </a:xfrm>
                    <a:prstGeom prst="rect">
                      <a:avLst/>
                    </a:prstGeom>
                    <a:ln>
                      <a:noFill/>
                    </a:ln>
                    <a:extLst>
                      <a:ext uri="{53640926-AAD7-44D8-BBD7-CCE9431645EC}">
                        <a14:shadowObscured xmlns:a14="http://schemas.microsoft.com/office/drawing/2010/main"/>
                      </a:ext>
                    </a:extLst>
                  </pic:spPr>
                </pic:pic>
              </a:graphicData>
            </a:graphic>
          </wp:inline>
        </w:drawing>
      </w:r>
    </w:p>
    <w:p w:rsidR="004A6525" w:rsidRPr="004A6525" w:rsidRDefault="004A6525" w:rsidP="003707A7">
      <w:pPr>
        <w:pStyle w:val="Prrafodelista"/>
        <w:ind w:left="142"/>
        <w:rPr>
          <w:rFonts w:ascii="Palatino Linotype" w:hAnsi="Palatino Linotype"/>
          <w:i/>
        </w:rPr>
      </w:pPr>
      <w:r>
        <w:rPr>
          <w:noProof/>
          <w:lang w:eastAsia="es-MX"/>
        </w:rPr>
        <w:drawing>
          <wp:inline distT="0" distB="0" distL="0" distR="0" wp14:anchorId="079E16F7" wp14:editId="206D82BE">
            <wp:extent cx="5530897" cy="1137036"/>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48" t="27616" r="51133" b="55931"/>
                    <a:stretch/>
                  </pic:blipFill>
                  <pic:spPr bwMode="auto">
                    <a:xfrm>
                      <a:off x="0" y="0"/>
                      <a:ext cx="5615565" cy="1154442"/>
                    </a:xfrm>
                    <a:prstGeom prst="rect">
                      <a:avLst/>
                    </a:prstGeom>
                    <a:ln>
                      <a:noFill/>
                    </a:ln>
                    <a:extLst>
                      <a:ext uri="{53640926-AAD7-44D8-BBD7-CCE9431645EC}">
                        <a14:shadowObscured xmlns:a14="http://schemas.microsoft.com/office/drawing/2010/main"/>
                      </a:ext>
                    </a:extLst>
                  </pic:spPr>
                </pic:pic>
              </a:graphicData>
            </a:graphic>
          </wp:inline>
        </w:drawing>
      </w:r>
    </w:p>
    <w:p w:rsidR="004A6525" w:rsidRPr="004A6525" w:rsidRDefault="004A6525" w:rsidP="00B26603">
      <w:pPr>
        <w:pStyle w:val="Prrafodelista"/>
        <w:numPr>
          <w:ilvl w:val="0"/>
          <w:numId w:val="6"/>
        </w:numPr>
        <w:spacing w:before="240" w:after="0" w:line="360" w:lineRule="auto"/>
        <w:contextualSpacing w:val="0"/>
        <w:jc w:val="both"/>
        <w:rPr>
          <w:rFonts w:ascii="Palatino Linotype" w:hAnsi="Palatino Linotype"/>
          <w:i/>
        </w:rPr>
      </w:pPr>
      <w:r>
        <w:rPr>
          <w:rFonts w:ascii="Palatino Linotype" w:eastAsia="Calibri" w:hAnsi="Palatino Linotype" w:cs="Arial"/>
          <w:sz w:val="24"/>
          <w:szCs w:val="24"/>
        </w:rPr>
        <w:lastRenderedPageBreak/>
        <w:t xml:space="preserve">Cabe </w:t>
      </w:r>
      <w:r w:rsidRPr="004A6525">
        <w:rPr>
          <w:rFonts w:ascii="Palatino Linotype" w:hAnsi="Palatino Linotype" w:cs="Arial"/>
        </w:rPr>
        <w:t>precisar</w:t>
      </w:r>
      <w:r>
        <w:rPr>
          <w:rFonts w:ascii="Palatino Linotype" w:eastAsia="Calibri" w:hAnsi="Palatino Linotype" w:cs="Arial"/>
          <w:sz w:val="24"/>
          <w:szCs w:val="24"/>
        </w:rPr>
        <w:t xml:space="preserve"> que dichos documentos corresponden a un mismo archivo que en los cuatro, contienen la misma información. . </w:t>
      </w:r>
    </w:p>
    <w:p w:rsidR="004A6525" w:rsidRPr="004A6525" w:rsidRDefault="004A6525" w:rsidP="003707A7">
      <w:pPr>
        <w:pStyle w:val="Prrafodelista"/>
        <w:spacing w:after="0"/>
        <w:rPr>
          <w:rFonts w:ascii="Palatino Linotype" w:eastAsia="Calibri" w:hAnsi="Palatino Linotype" w:cs="Arial"/>
          <w:sz w:val="24"/>
          <w:szCs w:val="24"/>
        </w:rPr>
      </w:pPr>
    </w:p>
    <w:p w:rsidR="00592F9D" w:rsidRPr="005C1CA9" w:rsidRDefault="004A6525" w:rsidP="007279DF">
      <w:pPr>
        <w:pStyle w:val="Prrafodelista"/>
        <w:numPr>
          <w:ilvl w:val="0"/>
          <w:numId w:val="2"/>
        </w:numPr>
        <w:spacing w:before="240" w:line="360" w:lineRule="auto"/>
        <w:ind w:left="284" w:right="34" w:hanging="284"/>
        <w:jc w:val="both"/>
        <w:rPr>
          <w:rFonts w:ascii="Palatino Linotype" w:eastAsia="Times New Roman" w:hAnsi="Palatino Linotype" w:cs="Arial"/>
        </w:rPr>
      </w:pPr>
      <w:r w:rsidRPr="005C1CA9">
        <w:rPr>
          <w:rFonts w:ascii="Palatino Linotype" w:eastAsia="Calibri" w:hAnsi="Palatino Linotype" w:cs="Arial"/>
          <w:sz w:val="24"/>
          <w:szCs w:val="24"/>
        </w:rPr>
        <w:t xml:space="preserve">El día </w:t>
      </w:r>
      <w:r w:rsidR="00664439" w:rsidRPr="005C1CA9">
        <w:rPr>
          <w:rFonts w:ascii="Palatino Linotype" w:eastAsia="MS Mincho" w:hAnsi="Palatino Linotype" w:cs="Arial"/>
          <w:color w:val="000000"/>
          <w:sz w:val="24"/>
        </w:rPr>
        <w:t>once (11</w:t>
      </w:r>
      <w:r w:rsidRPr="005C1CA9">
        <w:rPr>
          <w:rFonts w:ascii="Palatino Linotype" w:eastAsia="Calibri" w:hAnsi="Palatino Linotype" w:cs="Arial"/>
          <w:sz w:val="24"/>
          <w:szCs w:val="24"/>
        </w:rPr>
        <w:t>) de</w:t>
      </w:r>
      <w:r w:rsidR="00664439" w:rsidRPr="005C1CA9">
        <w:rPr>
          <w:rFonts w:ascii="Palatino Linotype" w:eastAsia="Calibri" w:hAnsi="Palatino Linotype" w:cs="Arial"/>
          <w:sz w:val="24"/>
          <w:szCs w:val="24"/>
        </w:rPr>
        <w:t xml:space="preserve"> julio</w:t>
      </w:r>
      <w:r w:rsidRPr="005C1CA9">
        <w:rPr>
          <w:rFonts w:ascii="Palatino Linotype" w:eastAsia="Calibri" w:hAnsi="Palatino Linotype" w:cs="Arial"/>
          <w:sz w:val="24"/>
          <w:szCs w:val="24"/>
        </w:rPr>
        <w:t xml:space="preserve"> mayo de dos mil dieciocho,</w:t>
      </w:r>
      <w:r w:rsidR="00592F9D" w:rsidRPr="005C1CA9">
        <w:rPr>
          <w:rFonts w:ascii="Palatino Linotype" w:eastAsia="Calibri" w:hAnsi="Palatino Linotype" w:cs="Arial"/>
          <w:sz w:val="24"/>
          <w:szCs w:val="24"/>
        </w:rPr>
        <w:t xml:space="preserve"> el </w:t>
      </w:r>
      <w:r w:rsidR="00592F9D" w:rsidRPr="005C1CA9">
        <w:rPr>
          <w:rFonts w:ascii="Palatino Linotype" w:eastAsia="Calibri" w:hAnsi="Palatino Linotype" w:cs="Arial"/>
          <w:b/>
          <w:sz w:val="24"/>
          <w:szCs w:val="24"/>
        </w:rPr>
        <w:t>SUJETO OBLIGADO</w:t>
      </w:r>
      <w:r w:rsidR="00592F9D" w:rsidRPr="005C1CA9">
        <w:rPr>
          <w:rFonts w:ascii="Palatino Linotype" w:eastAsia="Calibri" w:hAnsi="Palatino Linotype" w:cs="Arial"/>
          <w:sz w:val="24"/>
          <w:szCs w:val="24"/>
        </w:rPr>
        <w:t xml:space="preserve"> presentó sus respectivos informes justificados, </w:t>
      </w:r>
      <w:r w:rsidR="00592F9D" w:rsidRPr="005C1CA9">
        <w:rPr>
          <w:rFonts w:ascii="Palatino Linotype" w:eastAsia="MS Mincho" w:hAnsi="Palatino Linotype" w:cs="Times New Roman"/>
          <w:sz w:val="24"/>
          <w:szCs w:val="24"/>
        </w:rPr>
        <w:t>mismos que fueron notificados</w:t>
      </w:r>
      <w:r w:rsidR="00664439" w:rsidRPr="005C1CA9">
        <w:rPr>
          <w:rFonts w:ascii="Palatino Linotype" w:eastAsia="MS Mincho" w:hAnsi="Palatino Linotype" w:cs="Times New Roman"/>
          <w:sz w:val="24"/>
          <w:szCs w:val="24"/>
        </w:rPr>
        <w:t xml:space="preserve"> el día treinta y uno (31) de julio, por aportar contenido a su respuesta, cabe señalar que de igual manera, el </w:t>
      </w:r>
      <w:r w:rsidR="00592F9D" w:rsidRPr="005C1CA9">
        <w:rPr>
          <w:rFonts w:ascii="Palatino Linotype" w:eastAsia="MS Mincho" w:hAnsi="Palatino Linotype" w:cs="Times New Roman"/>
          <w:sz w:val="24"/>
          <w:szCs w:val="24"/>
        </w:rPr>
        <w:t xml:space="preserve"> </w:t>
      </w:r>
      <w:r w:rsidR="00664439" w:rsidRPr="005C1CA9">
        <w:rPr>
          <w:rFonts w:ascii="Palatino Linotype" w:eastAsia="Calibri" w:hAnsi="Palatino Linotype" w:cs="Arial"/>
          <w:b/>
          <w:sz w:val="24"/>
          <w:szCs w:val="24"/>
        </w:rPr>
        <w:t>SUJETO OBLIGADO</w:t>
      </w:r>
      <w:r w:rsidR="00664439" w:rsidRPr="005C1CA9">
        <w:rPr>
          <w:rFonts w:ascii="Palatino Linotype" w:eastAsia="Calibri" w:hAnsi="Palatino Linotype" w:cs="Arial"/>
          <w:sz w:val="24"/>
          <w:szCs w:val="24"/>
        </w:rPr>
        <w:t xml:space="preserve"> remito los mismo documentos en ambos recursos de revisión, documentos que</w:t>
      </w:r>
      <w:r w:rsidR="00A7208A" w:rsidRPr="005C1CA9">
        <w:rPr>
          <w:rFonts w:ascii="Palatino Linotype" w:eastAsia="Calibri" w:hAnsi="Palatino Linotype" w:cs="Arial"/>
          <w:sz w:val="24"/>
          <w:szCs w:val="24"/>
        </w:rPr>
        <w:t xml:space="preserve"> serán analizados en la </w:t>
      </w:r>
      <w:r w:rsidR="005C1CA9" w:rsidRPr="005C1CA9">
        <w:rPr>
          <w:rFonts w:ascii="Palatino Linotype" w:eastAsia="Calibri" w:hAnsi="Palatino Linotype" w:cs="Arial"/>
          <w:sz w:val="24"/>
          <w:szCs w:val="24"/>
        </w:rPr>
        <w:t>presente</w:t>
      </w:r>
      <w:r w:rsidR="00A7208A" w:rsidRPr="005C1CA9">
        <w:rPr>
          <w:rFonts w:ascii="Palatino Linotype" w:eastAsia="Calibri" w:hAnsi="Palatino Linotype" w:cs="Arial"/>
          <w:sz w:val="24"/>
          <w:szCs w:val="24"/>
        </w:rPr>
        <w:t xml:space="preserve"> resolución. </w:t>
      </w:r>
      <w:r w:rsidR="00664439" w:rsidRPr="005C1CA9">
        <w:rPr>
          <w:rFonts w:ascii="Palatino Linotype" w:eastAsia="Calibri" w:hAnsi="Palatino Linotype" w:cs="Arial"/>
          <w:sz w:val="24"/>
          <w:szCs w:val="24"/>
        </w:rPr>
        <w:t xml:space="preserve"> </w:t>
      </w:r>
    </w:p>
    <w:p w:rsidR="005C1CA9" w:rsidRPr="001C26CD" w:rsidRDefault="005C1CA9" w:rsidP="005C1CA9">
      <w:pPr>
        <w:pStyle w:val="Prrafodelista"/>
        <w:spacing w:before="240" w:line="360" w:lineRule="auto"/>
        <w:ind w:left="284" w:right="34"/>
        <w:jc w:val="both"/>
        <w:rPr>
          <w:rFonts w:ascii="Palatino Linotype" w:eastAsia="Times New Roman" w:hAnsi="Palatino Linotype" w:cs="Arial"/>
        </w:rPr>
      </w:pPr>
    </w:p>
    <w:p w:rsidR="00592F9D" w:rsidRPr="001C26CD" w:rsidRDefault="00592F9D" w:rsidP="00664439">
      <w:pPr>
        <w:pStyle w:val="Prrafodelista"/>
        <w:numPr>
          <w:ilvl w:val="0"/>
          <w:numId w:val="2"/>
        </w:numPr>
        <w:spacing w:before="240" w:line="360" w:lineRule="auto"/>
        <w:ind w:left="284" w:right="34" w:hanging="284"/>
        <w:jc w:val="both"/>
        <w:rPr>
          <w:rFonts w:ascii="Palatino Linotype" w:hAnsi="Palatino Linotype"/>
          <w:sz w:val="24"/>
          <w:szCs w:val="24"/>
        </w:rPr>
      </w:pPr>
      <w:r w:rsidRPr="001C26CD">
        <w:rPr>
          <w:rFonts w:ascii="Palatino Linotype" w:hAnsi="Palatino Linotype"/>
          <w:sz w:val="24"/>
          <w:szCs w:val="24"/>
        </w:rPr>
        <w:t xml:space="preserve">El </w:t>
      </w:r>
      <w:r w:rsidRPr="00664439">
        <w:rPr>
          <w:rFonts w:ascii="Palatino Linotype" w:eastAsia="MS Mincho" w:hAnsi="Palatino Linotype" w:cs="Times New Roman"/>
          <w:sz w:val="24"/>
          <w:szCs w:val="24"/>
        </w:rPr>
        <w:t>Comisionado</w:t>
      </w:r>
      <w:r w:rsidRPr="001C26CD">
        <w:rPr>
          <w:rFonts w:ascii="Palatino Linotype" w:hAnsi="Palatino Linotype"/>
          <w:sz w:val="24"/>
          <w:szCs w:val="24"/>
        </w:rPr>
        <w:t xml:space="preserve"> Ponente decretó el cierre de instrucción</w:t>
      </w:r>
      <w:r w:rsidRPr="001C26CD">
        <w:rPr>
          <w:rFonts w:ascii="Palatino Linotype" w:hAnsi="Palatino Linotype" w:cs="Arial"/>
          <w:sz w:val="24"/>
          <w:szCs w:val="24"/>
        </w:rPr>
        <w:t xml:space="preserve"> </w:t>
      </w:r>
      <w:r w:rsidRPr="001C26CD">
        <w:rPr>
          <w:rFonts w:ascii="Palatino Linotype" w:hAnsi="Palatino Linotype"/>
          <w:sz w:val="24"/>
          <w:szCs w:val="24"/>
        </w:rPr>
        <w:t xml:space="preserve">mediante acuerdo de fecha </w:t>
      </w:r>
      <w:r w:rsidR="005C1CA9">
        <w:rPr>
          <w:rFonts w:ascii="Palatino Linotype" w:hAnsi="Palatino Linotype"/>
          <w:sz w:val="24"/>
          <w:szCs w:val="24"/>
        </w:rPr>
        <w:t>siete (07) de agosto</w:t>
      </w:r>
      <w:r w:rsidRPr="001C26CD">
        <w:rPr>
          <w:rFonts w:ascii="Palatino Linotype" w:hAnsi="Palatino Linotype"/>
          <w:sz w:val="24"/>
          <w:szCs w:val="24"/>
        </w:rPr>
        <w:t xml:space="preserve"> de la presente anualidad, </w:t>
      </w:r>
      <w:r w:rsidRPr="001C26CD">
        <w:rPr>
          <w:rFonts w:ascii="Palatino Linotype" w:hAnsi="Palatino Linotype" w:cs="Arial"/>
          <w:sz w:val="24"/>
          <w:szCs w:val="24"/>
        </w:rPr>
        <w:t xml:space="preserve">por lo que, ordenó turnar el expediente a resolución, misma que ahora se pronuncia; y - - - - - - - - - - </w:t>
      </w:r>
    </w:p>
    <w:p w:rsidR="009738DC" w:rsidRDefault="009738DC" w:rsidP="005D4529">
      <w:pPr>
        <w:pStyle w:val="Prrafodelista"/>
        <w:rPr>
          <w:rFonts w:ascii="Palatino Linotype" w:hAnsi="Palatino Linotype"/>
          <w:highlight w:val="yellow"/>
        </w:rPr>
      </w:pPr>
    </w:p>
    <w:p w:rsidR="00792776" w:rsidRPr="00792776" w:rsidRDefault="00792776" w:rsidP="00792776">
      <w:pPr>
        <w:keepNext/>
        <w:keepLines/>
        <w:spacing w:before="240" w:after="0"/>
        <w:jc w:val="center"/>
        <w:outlineLvl w:val="0"/>
        <w:rPr>
          <w:rFonts w:ascii="Palatino Linotype" w:eastAsia="MS Gothic" w:hAnsi="Palatino Linotype" w:cs="Times New Roman"/>
          <w:b/>
          <w:sz w:val="24"/>
          <w:szCs w:val="24"/>
        </w:rPr>
      </w:pPr>
      <w:bookmarkStart w:id="32" w:name="_Toc494219912"/>
      <w:bookmarkStart w:id="33" w:name="_Toc522809773"/>
      <w:r w:rsidRPr="00792776">
        <w:rPr>
          <w:rFonts w:ascii="Palatino Linotype" w:eastAsia="MS Gothic" w:hAnsi="Palatino Linotype" w:cs="Times New Roman"/>
          <w:b/>
          <w:sz w:val="24"/>
          <w:szCs w:val="24"/>
        </w:rPr>
        <w:t>CONSIDERANDO</w:t>
      </w:r>
      <w:bookmarkEnd w:id="32"/>
      <w:bookmarkEnd w:id="33"/>
    </w:p>
    <w:p w:rsidR="00792776" w:rsidRPr="00792776" w:rsidRDefault="00792776" w:rsidP="00792776">
      <w:pPr>
        <w:spacing w:after="0" w:line="240" w:lineRule="auto"/>
        <w:rPr>
          <w:rFonts w:ascii="Palatino Linotype" w:eastAsia="MS Mincho" w:hAnsi="Palatino Linotype" w:cs="Times New Roman"/>
          <w:sz w:val="24"/>
          <w:szCs w:val="24"/>
        </w:rPr>
      </w:pPr>
    </w:p>
    <w:p w:rsidR="00792776" w:rsidRPr="00792776" w:rsidRDefault="00792776" w:rsidP="00792776">
      <w:pPr>
        <w:keepNext/>
        <w:keepLines/>
        <w:spacing w:before="40" w:after="0"/>
        <w:outlineLvl w:val="1"/>
        <w:rPr>
          <w:rFonts w:ascii="Palatino Linotype" w:eastAsia="MS Gothic" w:hAnsi="Palatino Linotype" w:cs="Times New Roman"/>
          <w:b/>
          <w:sz w:val="24"/>
          <w:szCs w:val="26"/>
        </w:rPr>
      </w:pPr>
      <w:bookmarkStart w:id="34" w:name="_Toc494219913"/>
      <w:bookmarkStart w:id="35" w:name="_Toc522809774"/>
      <w:r w:rsidRPr="00792776">
        <w:rPr>
          <w:rFonts w:ascii="Palatino Linotype" w:eastAsia="MS Gothic" w:hAnsi="Palatino Linotype" w:cs="Times New Roman"/>
          <w:b/>
          <w:sz w:val="24"/>
          <w:szCs w:val="26"/>
        </w:rPr>
        <w:t>PRIMERO. De la competencia.</w:t>
      </w:r>
      <w:bookmarkEnd w:id="34"/>
      <w:bookmarkEnd w:id="35"/>
    </w:p>
    <w:p w:rsidR="00792776" w:rsidRPr="00792776" w:rsidRDefault="00792776" w:rsidP="00A124C2"/>
    <w:p w:rsidR="00792776" w:rsidRPr="00BA1B55" w:rsidRDefault="00792776" w:rsidP="00792776">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BA1B5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A1B55">
        <w:rPr>
          <w:rFonts w:ascii="Palatino Linotype" w:eastAsia="Calibri" w:hAnsi="Palatino Linotype" w:cs="Times New Roman"/>
          <w:b/>
          <w:sz w:val="24"/>
          <w:szCs w:val="24"/>
          <w:lang w:val="es-ES" w:eastAsia="es-ES"/>
        </w:rPr>
        <w:t>Constitución Política de los Estados Unidos Mexicanos</w:t>
      </w:r>
      <w:r w:rsidRPr="00BA1B55">
        <w:rPr>
          <w:rFonts w:ascii="Palatino Linotype" w:eastAsia="Calibri" w:hAnsi="Palatino Linotype" w:cs="Times New Roman"/>
          <w:sz w:val="24"/>
          <w:szCs w:val="24"/>
          <w:lang w:val="es-ES" w:eastAsia="es-ES"/>
        </w:rPr>
        <w:t xml:space="preserve">; </w:t>
      </w:r>
      <w:r w:rsidRPr="00BA1B55">
        <w:rPr>
          <w:rFonts w:ascii="Palatino Linotype" w:hAnsi="Palatino Linotype" w:cs="Arial"/>
          <w:bCs/>
          <w:color w:val="222222"/>
          <w:sz w:val="24"/>
          <w:szCs w:val="24"/>
          <w:shd w:val="clear" w:color="auto" w:fill="FFFFFF"/>
          <w:lang w:val="es-ES"/>
        </w:rPr>
        <w:t>5, párrafos </w:t>
      </w:r>
      <w:r w:rsidRPr="00BA1B55">
        <w:rPr>
          <w:rFonts w:ascii="Palatino Linotype" w:hAnsi="Palatino Linotype" w:cs="Arial"/>
          <w:bCs/>
          <w:color w:val="222222"/>
          <w:sz w:val="24"/>
          <w:szCs w:val="24"/>
          <w:lang w:val="es-ES"/>
        </w:rPr>
        <w:t>vigésimo, vigésimo primero y vigésimo segundo</w:t>
      </w:r>
      <w:r w:rsidRPr="00BA1B55">
        <w:rPr>
          <w:rFonts w:ascii="Palatino Linotype" w:hAnsi="Palatino Linotype" w:cs="Arial"/>
          <w:bCs/>
          <w:color w:val="222222"/>
          <w:sz w:val="24"/>
          <w:szCs w:val="24"/>
          <w:shd w:val="clear" w:color="auto" w:fill="FFFFFF"/>
          <w:lang w:val="es-ES"/>
        </w:rPr>
        <w:t> fracciones IV y V </w:t>
      </w:r>
      <w:r w:rsidRPr="00BA1B55">
        <w:rPr>
          <w:rFonts w:ascii="Palatino Linotype" w:eastAsia="Calibri" w:hAnsi="Palatino Linotype" w:cs="Times New Roman"/>
          <w:sz w:val="24"/>
          <w:szCs w:val="24"/>
          <w:lang w:val="es-ES" w:eastAsia="es-ES"/>
        </w:rPr>
        <w:t xml:space="preserve">de la </w:t>
      </w:r>
      <w:r w:rsidRPr="00BA1B55">
        <w:rPr>
          <w:rFonts w:ascii="Palatino Linotype" w:eastAsia="Calibri" w:hAnsi="Palatino Linotype" w:cs="Times New Roman"/>
          <w:b/>
          <w:sz w:val="24"/>
          <w:szCs w:val="24"/>
          <w:lang w:val="es-ES" w:eastAsia="es-ES"/>
        </w:rPr>
        <w:t xml:space="preserve">Constitución Política del Estado Libre y </w:t>
      </w:r>
      <w:r w:rsidRPr="00BA1B55">
        <w:rPr>
          <w:rFonts w:ascii="Palatino Linotype" w:eastAsia="Calibri" w:hAnsi="Palatino Linotype" w:cs="Times New Roman"/>
          <w:b/>
          <w:sz w:val="24"/>
          <w:szCs w:val="24"/>
          <w:lang w:val="es-ES" w:eastAsia="es-ES"/>
        </w:rPr>
        <w:lastRenderedPageBreak/>
        <w:t>Soberano de México</w:t>
      </w:r>
      <w:r w:rsidRPr="00BA1B5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A1B55">
        <w:rPr>
          <w:rFonts w:ascii="Palatino Linotype" w:eastAsia="Calibri" w:hAnsi="Palatino Linotype" w:cs="Arial"/>
          <w:sz w:val="24"/>
          <w:szCs w:val="24"/>
          <w:lang w:val="es-ES" w:eastAsia="es-ES"/>
        </w:rPr>
        <w:t xml:space="preserve">de la </w:t>
      </w:r>
      <w:r w:rsidRPr="00BA1B55">
        <w:rPr>
          <w:rFonts w:ascii="Palatino Linotype" w:eastAsia="Calibri" w:hAnsi="Palatino Linotype" w:cs="Arial"/>
          <w:b/>
          <w:sz w:val="24"/>
          <w:szCs w:val="24"/>
          <w:lang w:val="es-ES" w:eastAsia="es-ES"/>
        </w:rPr>
        <w:t>Ley de Transparencia y Acceso a la Información Pública del Estado de México y Municipios</w:t>
      </w:r>
      <w:r w:rsidRPr="00BA1B55">
        <w:rPr>
          <w:rFonts w:ascii="Palatino Linotype" w:eastAsia="Calibri" w:hAnsi="Palatino Linotype" w:cs="Arial"/>
          <w:sz w:val="24"/>
          <w:szCs w:val="24"/>
          <w:lang w:val="es-ES" w:eastAsia="es-ES"/>
        </w:rPr>
        <w:t xml:space="preserve">; </w:t>
      </w:r>
      <w:r w:rsidRPr="00BA1B55">
        <w:rPr>
          <w:rFonts w:ascii="Palatino Linotype" w:eastAsia="Calibri" w:hAnsi="Palatino Linotype" w:cs="Arial"/>
          <w:b/>
          <w:sz w:val="24"/>
          <w:szCs w:val="24"/>
          <w:lang w:val="es-ES" w:eastAsia="es-ES"/>
        </w:rPr>
        <w:t>7, 9 fracciones I y XXIV, y 11</w:t>
      </w:r>
      <w:r w:rsidRPr="00BA1B55">
        <w:rPr>
          <w:rFonts w:ascii="Palatino Linotype" w:eastAsia="Calibri" w:hAnsi="Palatino Linotype" w:cs="Arial"/>
          <w:sz w:val="24"/>
          <w:szCs w:val="24"/>
          <w:lang w:val="es-ES" w:eastAsia="es-ES"/>
        </w:rPr>
        <w:t xml:space="preserve"> del </w:t>
      </w:r>
      <w:r w:rsidRPr="00BA1B5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A1B55">
        <w:rPr>
          <w:rFonts w:ascii="Palatino Linotype" w:eastAsia="MS Mincho" w:hAnsi="Palatino Linotype" w:cs="Times New Roman"/>
          <w:sz w:val="24"/>
          <w:szCs w:val="24"/>
          <w:lang w:val="es-ES_tradnl" w:eastAsia="es-ES"/>
        </w:rPr>
        <w:t>.</w:t>
      </w:r>
    </w:p>
    <w:p w:rsidR="00792776" w:rsidRPr="00792776" w:rsidRDefault="00792776" w:rsidP="00792776">
      <w:pPr>
        <w:spacing w:before="240" w:after="240" w:line="360" w:lineRule="auto"/>
        <w:contextualSpacing/>
        <w:jc w:val="both"/>
        <w:rPr>
          <w:rFonts w:ascii="Palatino Linotype" w:eastAsia="MS Mincho" w:hAnsi="Palatino Linotype" w:cs="Times New Roman"/>
          <w:sz w:val="24"/>
          <w:szCs w:val="24"/>
          <w:lang w:val="es-ES_tradnl" w:eastAsia="es-ES"/>
        </w:rPr>
      </w:pPr>
    </w:p>
    <w:p w:rsidR="00792776" w:rsidRPr="00792776" w:rsidRDefault="00792776" w:rsidP="00792776">
      <w:pPr>
        <w:keepNext/>
        <w:keepLines/>
        <w:spacing w:before="40" w:after="0"/>
        <w:outlineLvl w:val="1"/>
        <w:rPr>
          <w:rFonts w:ascii="Palatino Linotype" w:eastAsia="MS Gothic" w:hAnsi="Palatino Linotype" w:cs="Times New Roman"/>
          <w:b/>
          <w:sz w:val="24"/>
          <w:szCs w:val="26"/>
        </w:rPr>
      </w:pPr>
      <w:bookmarkStart w:id="36" w:name="_Toc494219914"/>
      <w:bookmarkStart w:id="37" w:name="_Toc522809775"/>
      <w:r w:rsidRPr="00792776">
        <w:rPr>
          <w:rFonts w:ascii="Palatino Linotype" w:eastAsia="MS Gothic" w:hAnsi="Palatino Linotype" w:cs="Times New Roman"/>
          <w:b/>
          <w:sz w:val="24"/>
          <w:szCs w:val="26"/>
        </w:rPr>
        <w:t>SEGUNDO. De la oportunidad y procedencia.</w:t>
      </w:r>
      <w:bookmarkEnd w:id="36"/>
      <w:bookmarkEnd w:id="37"/>
    </w:p>
    <w:p w:rsidR="005D4529" w:rsidRPr="00BA1B55" w:rsidRDefault="005D4529" w:rsidP="005D4529">
      <w:pPr>
        <w:pStyle w:val="Prrafodelista"/>
        <w:numPr>
          <w:ilvl w:val="0"/>
          <w:numId w:val="2"/>
        </w:numPr>
        <w:spacing w:before="240" w:after="240" w:line="360" w:lineRule="auto"/>
        <w:ind w:left="426" w:right="49" w:hanging="426"/>
        <w:jc w:val="both"/>
        <w:rPr>
          <w:rFonts w:ascii="Palatino Linotype" w:hAnsi="Palatino Linotype"/>
          <w:sz w:val="24"/>
          <w:szCs w:val="24"/>
        </w:rPr>
      </w:pPr>
      <w:r w:rsidRPr="00BA1B55">
        <w:rPr>
          <w:rFonts w:ascii="Palatino Linotype" w:eastAsia="Calibri" w:hAnsi="Palatino Linotype" w:cs="Arial"/>
          <w:sz w:val="24"/>
          <w:szCs w:val="24"/>
        </w:rPr>
        <w:t xml:space="preserve">El medio de impugnación fue presentado a través del </w:t>
      </w:r>
      <w:r w:rsidRPr="00BA1B55">
        <w:rPr>
          <w:rFonts w:ascii="Palatino Linotype" w:eastAsia="Calibri" w:hAnsi="Palatino Linotype" w:cs="Arial"/>
          <w:b/>
          <w:sz w:val="24"/>
          <w:szCs w:val="24"/>
        </w:rPr>
        <w:t>SAIMEX,</w:t>
      </w:r>
      <w:r w:rsidRPr="00BA1B55">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BA1B55">
        <w:rPr>
          <w:rFonts w:ascii="Palatino Linotype" w:eastAsia="Calibri" w:hAnsi="Palatino Linotype" w:cs="Arial"/>
          <w:b/>
          <w:sz w:val="24"/>
          <w:szCs w:val="24"/>
        </w:rPr>
        <w:t>SUJETO OBLIGADO</w:t>
      </w:r>
      <w:r w:rsidRPr="00BA1B55">
        <w:rPr>
          <w:rFonts w:ascii="Palatino Linotype" w:eastAsia="Calibri" w:hAnsi="Palatino Linotype" w:cs="Arial"/>
          <w:sz w:val="24"/>
          <w:szCs w:val="24"/>
        </w:rPr>
        <w:t xml:space="preserve"> entregó su respuesta el </w:t>
      </w:r>
      <w:r w:rsidR="005C1CA9">
        <w:rPr>
          <w:rFonts w:ascii="Palatino Linotype" w:eastAsia="Calibri" w:hAnsi="Palatino Linotype" w:cs="Arial"/>
          <w:sz w:val="24"/>
          <w:szCs w:val="24"/>
        </w:rPr>
        <w:t>veintiséis (26) de junio</w:t>
      </w:r>
      <w:r w:rsidR="00F6332F" w:rsidRPr="00BA1B55">
        <w:rPr>
          <w:rFonts w:ascii="Palatino Linotype" w:eastAsia="Calibri" w:hAnsi="Palatino Linotype" w:cs="Arial"/>
          <w:sz w:val="24"/>
          <w:szCs w:val="24"/>
        </w:rPr>
        <w:t xml:space="preserve"> de dos mil dieciocho</w:t>
      </w:r>
      <w:r w:rsidRPr="00BA1B55">
        <w:rPr>
          <w:rFonts w:ascii="Palatino Linotype" w:eastAsia="Calibri" w:hAnsi="Palatino Linotype" w:cs="Arial"/>
          <w:sz w:val="24"/>
          <w:szCs w:val="24"/>
        </w:rPr>
        <w:t xml:space="preserve">, </w:t>
      </w:r>
      <w:r w:rsidRPr="00BA1B55">
        <w:rPr>
          <w:rFonts w:ascii="Palatino Linotype" w:hAnsi="Palatino Linotype" w:cs="Arial"/>
          <w:sz w:val="24"/>
          <w:szCs w:val="24"/>
        </w:rPr>
        <w:t xml:space="preserve">de tal forma que el plazo para interponer el recurso transcurrió del día </w:t>
      </w:r>
      <w:r w:rsidR="005C1CA9">
        <w:rPr>
          <w:rFonts w:ascii="Palatino Linotype" w:hAnsi="Palatino Linotype" w:cs="Arial"/>
          <w:sz w:val="24"/>
          <w:szCs w:val="24"/>
        </w:rPr>
        <w:t xml:space="preserve">veintisiete (27) de junio </w:t>
      </w:r>
      <w:r w:rsidRPr="00BA1B55">
        <w:rPr>
          <w:rFonts w:ascii="Palatino Linotype" w:hAnsi="Palatino Linotype" w:cs="Arial"/>
          <w:sz w:val="24"/>
          <w:szCs w:val="24"/>
        </w:rPr>
        <w:t xml:space="preserve">al </w:t>
      </w:r>
      <w:r w:rsidR="005C1CA9">
        <w:rPr>
          <w:rFonts w:ascii="Palatino Linotype" w:hAnsi="Palatino Linotype" w:cs="Arial"/>
          <w:sz w:val="24"/>
          <w:szCs w:val="24"/>
        </w:rPr>
        <w:t xml:space="preserve">treinta y uno (31) de julio </w:t>
      </w:r>
      <w:r w:rsidRPr="00BA1B55">
        <w:rPr>
          <w:rFonts w:ascii="Palatino Linotype" w:eastAsia="Calibri" w:hAnsi="Palatino Linotype" w:cs="Arial"/>
          <w:sz w:val="24"/>
          <w:szCs w:val="24"/>
        </w:rPr>
        <w:t>de dos mil dieciocho</w:t>
      </w:r>
      <w:r w:rsidRPr="00BA1B55">
        <w:rPr>
          <w:rFonts w:ascii="Palatino Linotype" w:hAnsi="Palatino Linotype" w:cs="Arial"/>
          <w:sz w:val="24"/>
          <w:szCs w:val="24"/>
        </w:rPr>
        <w:t>; en consecuencia,</w:t>
      </w:r>
      <w:r w:rsidR="00F6332F" w:rsidRPr="00BA1B55">
        <w:rPr>
          <w:rFonts w:ascii="Palatino Linotype" w:hAnsi="Palatino Linotype" w:cs="Arial"/>
          <w:sz w:val="24"/>
          <w:szCs w:val="24"/>
        </w:rPr>
        <w:t xml:space="preserve"> el</w:t>
      </w:r>
      <w:r w:rsidRPr="00BA1B55">
        <w:rPr>
          <w:rFonts w:ascii="Palatino Linotype" w:hAnsi="Palatino Linotype" w:cs="Arial"/>
          <w:sz w:val="24"/>
          <w:szCs w:val="24"/>
        </w:rPr>
        <w:t xml:space="preserve"> ahora recurrente presentó su inconformidad el día </w:t>
      </w:r>
      <w:r w:rsidR="000F1B7B">
        <w:rPr>
          <w:rFonts w:ascii="Palatino Linotype" w:hAnsi="Palatino Linotype" w:cs="Arial"/>
          <w:sz w:val="24"/>
          <w:szCs w:val="24"/>
        </w:rPr>
        <w:t>veintisiete</w:t>
      </w:r>
      <w:r w:rsidR="001F547B">
        <w:rPr>
          <w:rFonts w:ascii="Palatino Linotype" w:hAnsi="Palatino Linotype" w:cs="Arial"/>
          <w:sz w:val="24"/>
          <w:szCs w:val="24"/>
        </w:rPr>
        <w:t xml:space="preserve"> (27) de junio</w:t>
      </w:r>
      <w:r w:rsidR="00F6332F" w:rsidRPr="00BA1B55">
        <w:rPr>
          <w:rFonts w:ascii="Palatino Linotype" w:hAnsi="Palatino Linotype" w:cs="Arial"/>
          <w:sz w:val="24"/>
          <w:szCs w:val="24"/>
        </w:rPr>
        <w:t xml:space="preserve"> de la presente anualidad</w:t>
      </w:r>
      <w:r w:rsidRPr="00BA1B55">
        <w:rPr>
          <w:rFonts w:ascii="Palatino Linotype" w:hAnsi="Palatino Linotype" w:cs="Arial"/>
          <w:sz w:val="24"/>
          <w:szCs w:val="24"/>
        </w:rPr>
        <w:t xml:space="preserve">, es decir, dentro del plazo legalmente establecido para tal efecto. </w:t>
      </w:r>
    </w:p>
    <w:p w:rsidR="00F6332F" w:rsidRPr="00BA1B55" w:rsidRDefault="00F6332F" w:rsidP="00F6332F">
      <w:pPr>
        <w:pStyle w:val="Prrafodelista"/>
        <w:rPr>
          <w:rFonts w:ascii="Palatino Linotype" w:eastAsia="Calibri" w:hAnsi="Palatino Linotype" w:cs="Arial"/>
          <w:sz w:val="24"/>
          <w:szCs w:val="24"/>
        </w:rPr>
      </w:pPr>
    </w:p>
    <w:p w:rsidR="005D4529" w:rsidRPr="00BA1B55" w:rsidRDefault="005D4529" w:rsidP="005D4529">
      <w:pPr>
        <w:pStyle w:val="Prrafodelista"/>
        <w:numPr>
          <w:ilvl w:val="0"/>
          <w:numId w:val="2"/>
        </w:numPr>
        <w:spacing w:before="240" w:after="240" w:line="360" w:lineRule="auto"/>
        <w:ind w:left="426" w:right="49"/>
        <w:jc w:val="both"/>
        <w:rPr>
          <w:rFonts w:ascii="Palatino Linotype" w:hAnsi="Palatino Linotype" w:cs="Arial"/>
          <w:sz w:val="24"/>
          <w:szCs w:val="24"/>
        </w:rPr>
      </w:pPr>
      <w:r w:rsidRPr="00BA1B55">
        <w:rPr>
          <w:rFonts w:ascii="Palatino Linotype" w:eastAsia="Calibri" w:hAnsi="Palatino Linotype" w:cs="Arial"/>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D4529" w:rsidRPr="00BA1B55" w:rsidRDefault="005D4529" w:rsidP="005D4529">
      <w:pPr>
        <w:pStyle w:val="Prrafodelista"/>
        <w:rPr>
          <w:rFonts w:ascii="Palatino Linotype" w:hAnsi="Palatino Linotype" w:cs="Arial"/>
          <w:sz w:val="24"/>
          <w:szCs w:val="24"/>
        </w:rPr>
      </w:pPr>
    </w:p>
    <w:p w:rsidR="005D4529" w:rsidRPr="00BA1B55" w:rsidRDefault="005D4529" w:rsidP="005D4529">
      <w:pPr>
        <w:pStyle w:val="Prrafodelista"/>
        <w:numPr>
          <w:ilvl w:val="0"/>
          <w:numId w:val="2"/>
        </w:numPr>
        <w:spacing w:before="240" w:after="240" w:line="360" w:lineRule="auto"/>
        <w:ind w:left="426" w:right="49" w:hanging="426"/>
        <w:jc w:val="both"/>
        <w:rPr>
          <w:rFonts w:ascii="Palatino Linotype" w:hAnsi="Palatino Linotype" w:cs="Arial"/>
          <w:sz w:val="24"/>
          <w:szCs w:val="24"/>
        </w:rPr>
      </w:pPr>
      <w:r w:rsidRPr="00BA1B55">
        <w:rPr>
          <w:rFonts w:ascii="Palatino Linotype" w:hAnsi="Palatino Linotype" w:cs="Arial"/>
          <w:sz w:val="24"/>
          <w:szCs w:val="24"/>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BA1B55">
        <w:rPr>
          <w:rFonts w:ascii="Palatino Linotype" w:hAnsi="Palatino Linotype" w:cs="Arial"/>
          <w:sz w:val="24"/>
          <w:szCs w:val="24"/>
        </w:rPr>
        <w:t>desechamiento</w:t>
      </w:r>
      <w:proofErr w:type="spellEnd"/>
      <w:r w:rsidRPr="00BA1B55">
        <w:rPr>
          <w:rFonts w:ascii="Palatino Linotype" w:hAnsi="Palatino Linotype" w:cs="Arial"/>
          <w:sz w:val="24"/>
          <w:szCs w:val="24"/>
        </w:rPr>
        <w:t xml:space="preserve"> o sobreseimiento; y en su caso ordenar la entrega de la información respecto a la respuesta emitida por el </w:t>
      </w:r>
      <w:r w:rsidRPr="00BA1B55">
        <w:rPr>
          <w:rFonts w:ascii="Palatino Linotype" w:hAnsi="Palatino Linotype" w:cs="Arial"/>
          <w:b/>
          <w:sz w:val="24"/>
          <w:szCs w:val="24"/>
        </w:rPr>
        <w:t>SUJETO OBLIGADO</w:t>
      </w:r>
      <w:r w:rsidRPr="00BA1B55">
        <w:rPr>
          <w:rFonts w:ascii="Palatino Linotype" w:hAnsi="Palatino Linotype" w:cs="Arial"/>
          <w:sz w:val="24"/>
          <w:szCs w:val="24"/>
        </w:rPr>
        <w:t>.</w:t>
      </w:r>
    </w:p>
    <w:p w:rsidR="00E64F11" w:rsidRPr="00E556DF" w:rsidRDefault="00E64F11" w:rsidP="0019604C">
      <w:pPr>
        <w:keepNext/>
        <w:keepLines/>
        <w:spacing w:before="40" w:after="0"/>
        <w:outlineLvl w:val="1"/>
        <w:rPr>
          <w:rFonts w:ascii="Palatino Linotype" w:eastAsia="MS Mincho" w:hAnsi="Palatino Linotype" w:cstheme="majorBidi"/>
          <w:b/>
          <w:sz w:val="24"/>
          <w:szCs w:val="24"/>
          <w:lang w:val="es-ES_tradnl" w:eastAsia="es-ES"/>
        </w:rPr>
      </w:pPr>
      <w:bookmarkStart w:id="38" w:name="_Toc454390714"/>
      <w:bookmarkStart w:id="39" w:name="_Toc494363877"/>
      <w:bookmarkStart w:id="40" w:name="_Toc495490300"/>
      <w:bookmarkStart w:id="41" w:name="_Toc496100160"/>
      <w:bookmarkStart w:id="42" w:name="_Toc499835863"/>
      <w:bookmarkStart w:id="43" w:name="_Toc522809776"/>
      <w:r w:rsidRPr="0019604C">
        <w:rPr>
          <w:rFonts w:ascii="Palatino Linotype" w:eastAsia="MS Gothic" w:hAnsi="Palatino Linotype" w:cs="Times New Roman"/>
          <w:b/>
          <w:sz w:val="24"/>
          <w:szCs w:val="26"/>
        </w:rPr>
        <w:t>TERCERO</w:t>
      </w:r>
      <w:r w:rsidRPr="00E556DF">
        <w:rPr>
          <w:rFonts w:ascii="Palatino Linotype" w:eastAsia="MS Mincho" w:hAnsi="Palatino Linotype" w:cstheme="majorBidi"/>
          <w:b/>
          <w:sz w:val="24"/>
          <w:szCs w:val="24"/>
          <w:lang w:val="es-ES_tradnl" w:eastAsia="es-ES"/>
        </w:rPr>
        <w:t xml:space="preserve">. </w:t>
      </w:r>
      <w:bookmarkEnd w:id="38"/>
      <w:r w:rsidR="00BA1B55" w:rsidRPr="00BA1B55">
        <w:rPr>
          <w:rFonts w:ascii="Palatino Linotype" w:eastAsia="MS Mincho" w:hAnsi="Palatino Linotype" w:cstheme="majorBidi"/>
          <w:b/>
          <w:sz w:val="24"/>
          <w:szCs w:val="24"/>
          <w:lang w:val="es-ES_tradnl" w:eastAsia="es-ES"/>
        </w:rPr>
        <w:t>Del planteamiento de la Litis.</w:t>
      </w:r>
      <w:bookmarkEnd w:id="39"/>
      <w:bookmarkEnd w:id="40"/>
      <w:bookmarkEnd w:id="41"/>
      <w:bookmarkEnd w:id="42"/>
      <w:bookmarkEnd w:id="43"/>
    </w:p>
    <w:p w:rsidR="00792776" w:rsidRDefault="00792776" w:rsidP="00E64F11">
      <w:pPr>
        <w:spacing w:after="0"/>
        <w:contextualSpacing/>
        <w:rPr>
          <w:rFonts w:ascii="Palatino Linotype" w:eastAsia="Calibri" w:hAnsi="Palatino Linotype" w:cs="Arial"/>
          <w:sz w:val="24"/>
          <w:szCs w:val="24"/>
          <w:lang w:eastAsia="es-ES"/>
        </w:rPr>
      </w:pPr>
    </w:p>
    <w:p w:rsidR="00BA1B55" w:rsidRPr="0061521A" w:rsidRDefault="00BA1B55" w:rsidP="00BA1B55">
      <w:pPr>
        <w:pStyle w:val="Prrafodelista"/>
        <w:numPr>
          <w:ilvl w:val="0"/>
          <w:numId w:val="2"/>
        </w:numPr>
        <w:spacing w:before="240" w:after="240" w:line="360" w:lineRule="auto"/>
        <w:ind w:left="426" w:hanging="426"/>
        <w:jc w:val="both"/>
        <w:rPr>
          <w:rFonts w:ascii="Palatino Linotype" w:hAnsi="Palatino Linotype" w:cs="Arial"/>
          <w:i/>
          <w:sz w:val="24"/>
          <w:szCs w:val="24"/>
        </w:rPr>
      </w:pPr>
      <w:r w:rsidRPr="00367C7A">
        <w:rPr>
          <w:rFonts w:ascii="Palatino Linotype" w:hAnsi="Palatino Linotype" w:cs="Arial"/>
          <w:sz w:val="24"/>
          <w:szCs w:val="24"/>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w:t>
      </w:r>
      <w:r w:rsidRPr="0033482A">
        <w:rPr>
          <w:rFonts w:ascii="Palatino Linotype" w:hAnsi="Palatino Linotype" w:cs="Arial"/>
          <w:sz w:val="24"/>
          <w:szCs w:val="24"/>
        </w:rPr>
        <w:t xml:space="preserve">publicidad de acuerdo a lo establecido en el artículo 8 de la </w:t>
      </w:r>
      <w:r w:rsidRPr="0033482A">
        <w:rPr>
          <w:rFonts w:ascii="Palatino Linotype" w:eastAsia="Calibri" w:hAnsi="Palatino Linotype" w:cs="Arial"/>
          <w:sz w:val="24"/>
          <w:szCs w:val="24"/>
          <w:lang w:val="es-ES"/>
        </w:rPr>
        <w:t>Ley de Transparencia y Acceso a la Información Pública del Estado de México y Municipios</w:t>
      </w:r>
      <w:r w:rsidRPr="0033482A">
        <w:rPr>
          <w:rFonts w:ascii="Palatino Linotype" w:eastAsia="Times New Roman" w:hAnsi="Palatino Linotype" w:cs="Arial"/>
          <w:sz w:val="24"/>
          <w:szCs w:val="24"/>
          <w:lang w:val="es-ES" w:eastAsia="es-MX"/>
        </w:rPr>
        <w:t>.</w:t>
      </w:r>
    </w:p>
    <w:p w:rsidR="00BA1B55" w:rsidRPr="0061521A" w:rsidRDefault="00BA1B55" w:rsidP="00BA1B55">
      <w:pPr>
        <w:pStyle w:val="Prrafodelista"/>
        <w:spacing w:before="240" w:after="240" w:line="360" w:lineRule="auto"/>
        <w:ind w:left="426"/>
        <w:jc w:val="both"/>
        <w:rPr>
          <w:rFonts w:ascii="Palatino Linotype" w:hAnsi="Palatino Linotype" w:cs="Arial"/>
          <w:i/>
          <w:sz w:val="24"/>
          <w:szCs w:val="24"/>
        </w:rPr>
      </w:pPr>
    </w:p>
    <w:p w:rsidR="00BA1B55" w:rsidRPr="008109FC" w:rsidRDefault="00BA1B55" w:rsidP="00BA1B55">
      <w:pPr>
        <w:pStyle w:val="Prrafodelista"/>
        <w:numPr>
          <w:ilvl w:val="0"/>
          <w:numId w:val="2"/>
        </w:numPr>
        <w:spacing w:before="240" w:after="240" w:line="360" w:lineRule="auto"/>
        <w:ind w:left="426" w:hanging="426"/>
        <w:jc w:val="both"/>
        <w:rPr>
          <w:rFonts w:ascii="Palatino Linotype" w:hAnsi="Palatino Linotype" w:cs="Arial"/>
          <w:i/>
          <w:sz w:val="24"/>
          <w:szCs w:val="24"/>
        </w:rPr>
      </w:pPr>
      <w:r>
        <w:rPr>
          <w:rFonts w:ascii="Palatino Linotype" w:eastAsia="Times New Roman" w:hAnsi="Palatino Linotype" w:cs="Arial"/>
          <w:sz w:val="24"/>
          <w:szCs w:val="24"/>
          <w:lang w:val="es-ES" w:eastAsia="es-MX"/>
        </w:rPr>
        <w:t xml:space="preserve">El ahora recurrente solicito conocer del </w:t>
      </w:r>
      <w:r w:rsidR="0019604C" w:rsidRPr="0019604C">
        <w:rPr>
          <w:rFonts w:ascii="Palatino Linotype" w:hAnsi="Palatino Linotype"/>
          <w:sz w:val="24"/>
          <w:szCs w:val="24"/>
        </w:rPr>
        <w:t>Sujeto Obligado</w:t>
      </w:r>
      <w:r w:rsidR="0019604C">
        <w:rPr>
          <w:rFonts w:ascii="Palatino Linotype" w:eastAsia="Times New Roman" w:hAnsi="Palatino Linotype" w:cs="Arial"/>
          <w:sz w:val="24"/>
          <w:szCs w:val="24"/>
          <w:lang w:val="es-ES" w:eastAsia="es-MX"/>
        </w:rPr>
        <w:t xml:space="preserve"> </w:t>
      </w:r>
      <w:r>
        <w:rPr>
          <w:rFonts w:ascii="Palatino Linotype" w:eastAsia="Times New Roman" w:hAnsi="Palatino Linotype" w:cs="Arial"/>
          <w:sz w:val="24"/>
          <w:szCs w:val="24"/>
          <w:lang w:val="es-ES" w:eastAsia="es-MX"/>
        </w:rPr>
        <w:t xml:space="preserve">lo siguiente: </w:t>
      </w:r>
    </w:p>
    <w:p w:rsidR="000F1B7B" w:rsidRPr="007957FE" w:rsidRDefault="007957FE" w:rsidP="007957FE">
      <w:pPr>
        <w:pStyle w:val="Prrafodelista"/>
        <w:numPr>
          <w:ilvl w:val="0"/>
          <w:numId w:val="1"/>
        </w:numPr>
        <w:spacing w:before="240" w:after="240" w:line="360" w:lineRule="auto"/>
        <w:ind w:left="709"/>
        <w:jc w:val="both"/>
        <w:rPr>
          <w:rFonts w:ascii="Palatino Linotype" w:eastAsia="Times New Roman" w:hAnsi="Palatino Linotype" w:cs="Arial"/>
          <w:sz w:val="24"/>
          <w:szCs w:val="24"/>
          <w:lang w:val="es-ES" w:eastAsia="es-MX"/>
        </w:rPr>
      </w:pPr>
      <w:r w:rsidRPr="007957FE">
        <w:rPr>
          <w:rFonts w:ascii="Palatino Linotype" w:eastAsia="Times New Roman" w:hAnsi="Palatino Linotype" w:cs="Arial"/>
          <w:sz w:val="24"/>
          <w:szCs w:val="24"/>
          <w:lang w:val="es-ES" w:eastAsia="es-MX"/>
        </w:rPr>
        <w:t xml:space="preserve">De los delitos de: Robo a Transporte Público Robo a transeúnte Robo a casa habitación Información en </w:t>
      </w:r>
      <w:proofErr w:type="spellStart"/>
      <w:r w:rsidRPr="007957FE">
        <w:rPr>
          <w:rFonts w:ascii="Palatino Linotype" w:eastAsia="Times New Roman" w:hAnsi="Palatino Linotype" w:cs="Arial"/>
          <w:sz w:val="24"/>
          <w:szCs w:val="24"/>
          <w:lang w:val="es-ES" w:eastAsia="es-MX"/>
        </w:rPr>
        <w:t>Neza</w:t>
      </w:r>
      <w:proofErr w:type="spellEnd"/>
      <w:r w:rsidRPr="007957FE">
        <w:rPr>
          <w:rFonts w:ascii="Palatino Linotype" w:eastAsia="Times New Roman" w:hAnsi="Palatino Linotype" w:cs="Arial"/>
          <w:sz w:val="24"/>
          <w:szCs w:val="24"/>
          <w:lang w:val="es-ES" w:eastAsia="es-MX"/>
        </w:rPr>
        <w:t>-Palacio; La Perla y Campestre-la Bola</w:t>
      </w:r>
      <w:r>
        <w:rPr>
          <w:rFonts w:ascii="Palatino Linotype" w:eastAsia="Times New Roman" w:hAnsi="Palatino Linotype" w:cs="Arial"/>
          <w:sz w:val="24"/>
          <w:szCs w:val="24"/>
          <w:lang w:val="es-ES" w:eastAsia="es-MX"/>
        </w:rPr>
        <w:t>.</w:t>
      </w:r>
    </w:p>
    <w:p w:rsidR="000F1B7B" w:rsidRPr="007957FE" w:rsidRDefault="000F1B7B" w:rsidP="00B26603">
      <w:pPr>
        <w:pStyle w:val="Prrafodelista"/>
        <w:numPr>
          <w:ilvl w:val="0"/>
          <w:numId w:val="7"/>
        </w:numPr>
        <w:spacing w:before="240" w:after="240" w:line="360" w:lineRule="auto"/>
        <w:ind w:left="1276"/>
        <w:jc w:val="both"/>
        <w:rPr>
          <w:rFonts w:ascii="Palatino Linotype" w:eastAsia="Times New Roman" w:hAnsi="Palatino Linotype" w:cs="Arial"/>
          <w:sz w:val="24"/>
          <w:szCs w:val="24"/>
          <w:lang w:val="es-ES" w:eastAsia="es-MX"/>
        </w:rPr>
      </w:pPr>
      <w:r w:rsidRPr="007957FE">
        <w:rPr>
          <w:rFonts w:ascii="Palatino Linotype" w:eastAsia="Times New Roman" w:hAnsi="Palatino Linotype" w:cs="Arial"/>
          <w:sz w:val="24"/>
          <w:szCs w:val="24"/>
          <w:lang w:val="es-ES" w:eastAsia="es-MX"/>
        </w:rPr>
        <w:t>Cuantos números de NIC se iniciaron en los años 201</w:t>
      </w:r>
      <w:r w:rsidR="007957FE" w:rsidRPr="007957FE">
        <w:rPr>
          <w:rFonts w:ascii="Palatino Linotype" w:eastAsia="Times New Roman" w:hAnsi="Palatino Linotype" w:cs="Arial"/>
          <w:sz w:val="24"/>
          <w:szCs w:val="24"/>
          <w:lang w:val="es-ES" w:eastAsia="es-MX"/>
        </w:rPr>
        <w:t>6, 2017 y</w:t>
      </w:r>
      <w:r w:rsidR="00825161">
        <w:rPr>
          <w:rFonts w:ascii="Palatino Linotype" w:eastAsia="Times New Roman" w:hAnsi="Palatino Linotype" w:cs="Arial"/>
          <w:sz w:val="24"/>
          <w:szCs w:val="24"/>
          <w:lang w:val="es-ES" w:eastAsia="es-MX"/>
        </w:rPr>
        <w:t xml:space="preserve"> del 01 de enero </w:t>
      </w:r>
      <w:r w:rsidR="00825161">
        <w:rPr>
          <w:rStyle w:val="Refdenotaalpie"/>
          <w:rFonts w:ascii="Palatino Linotype" w:eastAsia="Times New Roman" w:hAnsi="Palatino Linotype" w:cs="Arial"/>
          <w:sz w:val="24"/>
          <w:szCs w:val="24"/>
          <w:lang w:val="es-ES" w:eastAsia="es-MX"/>
        </w:rPr>
        <w:footnoteReference w:id="1"/>
      </w:r>
      <w:r w:rsidR="007957FE" w:rsidRPr="007957FE">
        <w:rPr>
          <w:rFonts w:ascii="Palatino Linotype" w:eastAsia="Times New Roman" w:hAnsi="Palatino Linotype" w:cs="Arial"/>
          <w:sz w:val="24"/>
          <w:szCs w:val="24"/>
          <w:lang w:val="es-ES" w:eastAsia="es-MX"/>
        </w:rPr>
        <w:t xml:space="preserve"> al 31 de mayo de 2018, se solicita desglosada  por mes</w:t>
      </w:r>
      <w:r w:rsidR="007957FE">
        <w:rPr>
          <w:rFonts w:ascii="Palatino Linotype" w:eastAsia="Times New Roman" w:hAnsi="Palatino Linotype" w:cs="Arial"/>
          <w:sz w:val="24"/>
          <w:szCs w:val="24"/>
          <w:lang w:val="es-ES" w:eastAsia="es-MX"/>
        </w:rPr>
        <w:t>.</w:t>
      </w:r>
      <w:r w:rsidR="007957FE" w:rsidRPr="007957FE">
        <w:rPr>
          <w:rFonts w:ascii="Palatino Linotype" w:eastAsia="Times New Roman" w:hAnsi="Palatino Linotype" w:cs="Arial"/>
          <w:sz w:val="24"/>
          <w:szCs w:val="24"/>
          <w:lang w:val="es-ES" w:eastAsia="es-MX"/>
        </w:rPr>
        <w:t xml:space="preserve"> </w:t>
      </w:r>
      <w:r w:rsidRPr="007957FE">
        <w:rPr>
          <w:rFonts w:ascii="Palatino Linotype" w:eastAsia="Times New Roman" w:hAnsi="Palatino Linotype" w:cs="Arial"/>
          <w:sz w:val="24"/>
          <w:szCs w:val="24"/>
          <w:lang w:val="es-ES" w:eastAsia="es-MX"/>
        </w:rPr>
        <w:t xml:space="preserve"> </w:t>
      </w:r>
    </w:p>
    <w:p w:rsidR="000F1B7B" w:rsidRDefault="000F1B7B" w:rsidP="00B26603">
      <w:pPr>
        <w:pStyle w:val="Prrafodelista"/>
        <w:numPr>
          <w:ilvl w:val="0"/>
          <w:numId w:val="7"/>
        </w:numPr>
        <w:spacing w:before="240" w:after="240" w:line="360" w:lineRule="auto"/>
        <w:ind w:left="1276"/>
        <w:jc w:val="both"/>
        <w:rPr>
          <w:rFonts w:ascii="Palatino Linotype" w:eastAsia="Times New Roman" w:hAnsi="Palatino Linotype" w:cs="Arial"/>
          <w:sz w:val="24"/>
          <w:szCs w:val="24"/>
          <w:lang w:val="es-ES" w:eastAsia="es-MX"/>
        </w:rPr>
      </w:pPr>
      <w:r w:rsidRPr="007957FE">
        <w:rPr>
          <w:rFonts w:ascii="Palatino Linotype" w:eastAsia="Times New Roman" w:hAnsi="Palatino Linotype" w:cs="Arial"/>
          <w:sz w:val="24"/>
          <w:szCs w:val="24"/>
          <w:lang w:val="es-ES" w:eastAsia="es-MX"/>
        </w:rPr>
        <w:lastRenderedPageBreak/>
        <w:t>Cuantos números de NUC se iniciaron en los años 201</w:t>
      </w:r>
      <w:r w:rsidR="007957FE">
        <w:rPr>
          <w:rFonts w:ascii="Palatino Linotype" w:eastAsia="Times New Roman" w:hAnsi="Palatino Linotype" w:cs="Arial"/>
          <w:sz w:val="24"/>
          <w:szCs w:val="24"/>
          <w:lang w:val="es-ES" w:eastAsia="es-MX"/>
        </w:rPr>
        <w:t xml:space="preserve">6, 2017 y </w:t>
      </w:r>
      <w:r w:rsidR="00825161">
        <w:rPr>
          <w:rFonts w:ascii="Palatino Linotype" w:eastAsia="Times New Roman" w:hAnsi="Palatino Linotype" w:cs="Arial"/>
          <w:sz w:val="24"/>
          <w:szCs w:val="24"/>
          <w:lang w:val="es-ES" w:eastAsia="es-MX"/>
        </w:rPr>
        <w:t xml:space="preserve">del 01 de enero </w:t>
      </w:r>
      <w:r w:rsidR="007957FE">
        <w:rPr>
          <w:rFonts w:ascii="Palatino Linotype" w:eastAsia="Times New Roman" w:hAnsi="Palatino Linotype" w:cs="Arial"/>
          <w:sz w:val="24"/>
          <w:szCs w:val="24"/>
          <w:lang w:val="es-ES" w:eastAsia="es-MX"/>
        </w:rPr>
        <w:t>al 31 de mayo de 2018.</w:t>
      </w:r>
    </w:p>
    <w:p w:rsidR="00EA16BE" w:rsidRDefault="00EA16BE" w:rsidP="00EA16BE">
      <w:pPr>
        <w:pStyle w:val="Prrafodelista"/>
        <w:spacing w:before="240" w:after="240" w:line="360" w:lineRule="auto"/>
        <w:ind w:left="1276"/>
        <w:jc w:val="both"/>
        <w:rPr>
          <w:rFonts w:ascii="Palatino Linotype" w:eastAsia="Times New Roman" w:hAnsi="Palatino Linotype" w:cs="Arial"/>
          <w:sz w:val="24"/>
          <w:szCs w:val="24"/>
          <w:lang w:val="es-ES" w:eastAsia="es-MX"/>
        </w:rPr>
      </w:pPr>
    </w:p>
    <w:p w:rsidR="00EA16BE" w:rsidRPr="00EA16BE" w:rsidRDefault="00EA16BE" w:rsidP="00EA16BE">
      <w:pPr>
        <w:pStyle w:val="Prrafodelista"/>
        <w:numPr>
          <w:ilvl w:val="0"/>
          <w:numId w:val="2"/>
        </w:numPr>
        <w:spacing w:after="0" w:line="360" w:lineRule="auto"/>
        <w:ind w:left="360"/>
        <w:jc w:val="both"/>
        <w:rPr>
          <w:rFonts w:ascii="Palatino Linotype" w:eastAsia="MS Mincho" w:hAnsi="Palatino Linotype" w:cstheme="majorBidi"/>
          <w:i/>
          <w:sz w:val="28"/>
          <w:szCs w:val="24"/>
          <w:lang w:eastAsia="es-ES"/>
        </w:rPr>
      </w:pPr>
      <w:r w:rsidRPr="00EA16BE">
        <w:rPr>
          <w:rFonts w:ascii="Palatino Linotype" w:hAnsi="Palatino Linotype" w:cs="Arial"/>
          <w:sz w:val="24"/>
          <w:lang w:eastAsia="es-MX"/>
        </w:rPr>
        <w:t xml:space="preserve">El Sujeto Obligado en respuesta señaló que de acuerdo a lo informado por el Servidor Público Habilitado, no se procesa información estadística por Agencia del Ministerio Público, por NIC ni por NUC; no obstante, a efecto de privilegiar el principio de máxima publicidad a que hace referencia el artículo 4, párrafo segundo de la Ley de la materia, se proporciona vía (SAIMEX), el número de denuncias presentadas ante el Ministerio Público, en el municipio de Nezahualcóyotl, por los delitos referidos en sus solicitudes correspondientes a los años 2016, 2017 y hasta mayo de 2018, de acuerdo a cifras publicadas en la página del Secretariado Ejecutivo del Sistema Nacional </w:t>
      </w:r>
      <w:r w:rsidR="0006439E">
        <w:rPr>
          <w:rFonts w:ascii="Palatino Linotype" w:hAnsi="Palatino Linotype" w:cs="Arial"/>
          <w:sz w:val="24"/>
          <w:lang w:eastAsia="es-MX"/>
        </w:rPr>
        <w:t>de Seguridad Pública (SESNSP).</w:t>
      </w:r>
    </w:p>
    <w:p w:rsidR="00EA16BE" w:rsidRPr="00EA16BE" w:rsidRDefault="00EA16BE" w:rsidP="00EA16BE">
      <w:pPr>
        <w:pStyle w:val="Prrafodelista"/>
        <w:spacing w:after="0" w:line="360" w:lineRule="auto"/>
        <w:ind w:left="360"/>
        <w:jc w:val="both"/>
        <w:rPr>
          <w:rFonts w:ascii="Palatino Linotype" w:eastAsia="MS Mincho" w:hAnsi="Palatino Linotype" w:cstheme="majorBidi"/>
          <w:i/>
          <w:sz w:val="28"/>
          <w:szCs w:val="24"/>
          <w:lang w:eastAsia="es-ES"/>
        </w:rPr>
      </w:pPr>
    </w:p>
    <w:p w:rsidR="00CA566E" w:rsidRDefault="00EA16BE" w:rsidP="00CA566E">
      <w:pPr>
        <w:pStyle w:val="Prrafodelista"/>
        <w:numPr>
          <w:ilvl w:val="0"/>
          <w:numId w:val="2"/>
        </w:numPr>
        <w:spacing w:after="0" w:line="360" w:lineRule="auto"/>
        <w:ind w:left="360"/>
        <w:jc w:val="both"/>
        <w:rPr>
          <w:rFonts w:ascii="Palatino Linotype" w:hAnsi="Palatino Linotype" w:cs="Arial"/>
          <w:sz w:val="24"/>
          <w:lang w:eastAsia="es-MX"/>
        </w:rPr>
      </w:pPr>
      <w:r w:rsidRPr="00C60860">
        <w:rPr>
          <w:rFonts w:ascii="Palatino Linotype" w:hAnsi="Palatino Linotype" w:cs="Arial"/>
          <w:sz w:val="24"/>
          <w:lang w:eastAsia="es-MX"/>
        </w:rPr>
        <w:t xml:space="preserve">Inconforme con ello, el Recurrente interpuso recurso de revisión señalando como acto impugnado la </w:t>
      </w:r>
      <w:r w:rsidR="0006439E">
        <w:rPr>
          <w:rFonts w:ascii="Palatino Linotype" w:hAnsi="Palatino Linotype" w:cs="Arial"/>
          <w:sz w:val="24"/>
          <w:lang w:eastAsia="es-MX"/>
        </w:rPr>
        <w:t>contestación dada</w:t>
      </w:r>
      <w:r w:rsidRPr="00C60860">
        <w:rPr>
          <w:rFonts w:ascii="Palatino Linotype" w:hAnsi="Palatino Linotype" w:cs="Arial"/>
          <w:sz w:val="24"/>
          <w:lang w:eastAsia="es-MX"/>
        </w:rPr>
        <w:t xml:space="preserve"> y como razones o motivos de inconformidad que no se le hizo entrega de la información vía SAIMEX señalando que </w:t>
      </w:r>
      <w:r w:rsidR="00CA566E">
        <w:rPr>
          <w:rFonts w:ascii="Palatino Linotype" w:hAnsi="Palatino Linotype" w:cs="Arial"/>
          <w:sz w:val="24"/>
          <w:lang w:eastAsia="es-MX"/>
        </w:rPr>
        <w:t xml:space="preserve">se inconforma de la </w:t>
      </w:r>
      <w:r w:rsidR="00CA566E" w:rsidRPr="00CA566E">
        <w:rPr>
          <w:rFonts w:ascii="Palatino Linotype" w:hAnsi="Palatino Linotype" w:cs="Arial"/>
          <w:sz w:val="24"/>
          <w:lang w:eastAsia="es-MX"/>
        </w:rPr>
        <w:t xml:space="preserve">respuesta dada por el ente obligado, toda vez </w:t>
      </w:r>
      <w:r w:rsidR="00CA566E">
        <w:rPr>
          <w:rFonts w:ascii="Palatino Linotype" w:hAnsi="Palatino Linotype" w:cs="Arial"/>
          <w:sz w:val="24"/>
          <w:lang w:eastAsia="es-MX"/>
        </w:rPr>
        <w:t>que</w:t>
      </w:r>
      <w:r w:rsidR="00CA566E" w:rsidRPr="00CA566E">
        <w:rPr>
          <w:rFonts w:ascii="Palatino Linotype" w:hAnsi="Palatino Linotype" w:cs="Arial"/>
          <w:sz w:val="24"/>
          <w:lang w:eastAsia="es-MX"/>
        </w:rPr>
        <w:t xml:space="preserve"> existe norma jurídica que los obliga a realizar un registro por NIC</w:t>
      </w:r>
      <w:r w:rsidR="00CA566E">
        <w:rPr>
          <w:rFonts w:ascii="Palatino Linotype" w:hAnsi="Palatino Linotype" w:cs="Arial"/>
          <w:sz w:val="24"/>
          <w:lang w:eastAsia="es-MX"/>
        </w:rPr>
        <w:t xml:space="preserve"> (</w:t>
      </w:r>
      <w:r w:rsidR="00CA566E" w:rsidRPr="00CA566E">
        <w:rPr>
          <w:rFonts w:ascii="Palatino Linotype" w:hAnsi="Palatino Linotype" w:cs="Arial"/>
          <w:sz w:val="24"/>
          <w:lang w:eastAsia="es-MX"/>
        </w:rPr>
        <w:t>número interno de control</w:t>
      </w:r>
      <w:r w:rsidR="00CA566E">
        <w:rPr>
          <w:rFonts w:ascii="Palatino Linotype" w:hAnsi="Palatino Linotype" w:cs="Arial"/>
          <w:sz w:val="24"/>
          <w:lang w:eastAsia="es-MX"/>
        </w:rPr>
        <w:t>)</w:t>
      </w:r>
      <w:r w:rsidR="00CA566E" w:rsidRPr="00CA566E">
        <w:rPr>
          <w:rFonts w:ascii="Palatino Linotype" w:hAnsi="Palatino Linotype" w:cs="Arial"/>
          <w:sz w:val="24"/>
          <w:lang w:eastAsia="es-MX"/>
        </w:rPr>
        <w:t xml:space="preserve"> y también por NUC </w:t>
      </w:r>
      <w:r w:rsidR="00CA566E">
        <w:rPr>
          <w:rFonts w:ascii="Palatino Linotype" w:hAnsi="Palatino Linotype" w:cs="Arial"/>
          <w:sz w:val="24"/>
          <w:lang w:eastAsia="es-MX"/>
        </w:rPr>
        <w:t>(número único de causa)</w:t>
      </w:r>
      <w:r w:rsidR="00595020">
        <w:rPr>
          <w:rFonts w:ascii="Palatino Linotype" w:hAnsi="Palatino Linotype" w:cs="Arial"/>
          <w:sz w:val="24"/>
          <w:lang w:eastAsia="es-MX"/>
        </w:rPr>
        <w:t xml:space="preserve">. </w:t>
      </w:r>
    </w:p>
    <w:p w:rsidR="00595020" w:rsidRPr="00595020" w:rsidRDefault="00595020" w:rsidP="00595020">
      <w:pPr>
        <w:pStyle w:val="Prrafodelista"/>
        <w:rPr>
          <w:rFonts w:ascii="Palatino Linotype" w:hAnsi="Palatino Linotype" w:cs="Arial"/>
          <w:sz w:val="24"/>
          <w:lang w:eastAsia="es-MX"/>
        </w:rPr>
      </w:pPr>
    </w:p>
    <w:p w:rsidR="00595020" w:rsidRPr="00595020" w:rsidRDefault="00595020" w:rsidP="00595020">
      <w:pPr>
        <w:pStyle w:val="Prrafodelista"/>
        <w:numPr>
          <w:ilvl w:val="0"/>
          <w:numId w:val="2"/>
        </w:numPr>
        <w:spacing w:after="0" w:line="360" w:lineRule="auto"/>
        <w:ind w:left="360"/>
        <w:jc w:val="both"/>
        <w:rPr>
          <w:rFonts w:ascii="Palatino Linotype" w:hAnsi="Palatino Linotype" w:cs="Arial"/>
          <w:sz w:val="24"/>
          <w:lang w:eastAsia="es-MX"/>
        </w:rPr>
      </w:pPr>
      <w:r w:rsidRPr="00595020">
        <w:rPr>
          <w:rFonts w:ascii="Palatino Linotype" w:hAnsi="Palatino Linotype" w:cs="Arial"/>
          <w:sz w:val="24"/>
          <w:lang w:eastAsia="es-MX"/>
        </w:rPr>
        <w:t xml:space="preserve">En ese orden de ideas, el ahora recurrente posterior a la presentación de su recurso de inconformidad adjunto sus manifestaciones, en las cuales señaló que </w:t>
      </w:r>
      <w:r w:rsidRPr="00595020">
        <w:rPr>
          <w:rFonts w:ascii="Palatino Linotype" w:hAnsi="Palatino Linotype" w:cs="Arial"/>
          <w:sz w:val="24"/>
          <w:lang w:eastAsia="es-MX"/>
        </w:rPr>
        <w:lastRenderedPageBreak/>
        <w:t xml:space="preserve">en el Sistema Informático de Gestión Institucional del Procedimiento Penal en el Estado de México “SIGIPPEM” se realizan los registros del “NIC” que  es una noticia criminal y del “NUC” que es una carpeta de investigación (anteriormente llamada averiguación previa) </w:t>
      </w:r>
    </w:p>
    <w:p w:rsidR="00EA16BE" w:rsidRPr="00C60860" w:rsidRDefault="00EA16BE" w:rsidP="00EA16BE">
      <w:pPr>
        <w:pStyle w:val="Prrafodelista"/>
        <w:rPr>
          <w:rFonts w:ascii="Palatino Linotype" w:hAnsi="Palatino Linotype" w:cs="Arial"/>
          <w:sz w:val="24"/>
          <w:lang w:eastAsia="es-MX"/>
        </w:rPr>
      </w:pPr>
    </w:p>
    <w:p w:rsidR="00EA16BE" w:rsidRPr="00595020" w:rsidRDefault="00EA16BE" w:rsidP="00EA16BE">
      <w:pPr>
        <w:pStyle w:val="Prrafodelista"/>
        <w:numPr>
          <w:ilvl w:val="0"/>
          <w:numId w:val="2"/>
        </w:numPr>
        <w:spacing w:after="0" w:line="360" w:lineRule="auto"/>
        <w:ind w:left="360"/>
        <w:jc w:val="both"/>
        <w:rPr>
          <w:rFonts w:ascii="Palatino Linotype" w:hAnsi="Palatino Linotype" w:cs="Arial"/>
          <w:sz w:val="24"/>
          <w:lang w:eastAsia="es-MX"/>
        </w:rPr>
      </w:pPr>
      <w:r w:rsidRPr="00C60860">
        <w:rPr>
          <w:rFonts w:ascii="Palatino Linotype" w:hAnsi="Palatino Linotype" w:cs="Arial"/>
          <w:sz w:val="24"/>
          <w:lang w:eastAsia="es-MX"/>
        </w:rPr>
        <w:t xml:space="preserve">Finalmente, en Informe Justificado el Sujeto Obligado, ratificó su respuesta </w:t>
      </w:r>
      <w:r w:rsidRPr="00595020">
        <w:rPr>
          <w:rFonts w:ascii="Palatino Linotype" w:hAnsi="Palatino Linotype" w:cs="Arial"/>
          <w:sz w:val="24"/>
          <w:lang w:eastAsia="es-MX"/>
        </w:rPr>
        <w:t xml:space="preserve">indicando que </w:t>
      </w:r>
      <w:r w:rsidR="00595020" w:rsidRPr="00595020">
        <w:rPr>
          <w:rFonts w:ascii="Palatino Linotype" w:hAnsi="Palatino Linotype" w:cs="Arial"/>
          <w:sz w:val="24"/>
          <w:lang w:eastAsia="es-MX"/>
        </w:rPr>
        <w:t xml:space="preserve">no genera, ni procesa información con respecto a los números de NIC y NUC, por delito o región de la comisión del hecho delictivo. </w:t>
      </w:r>
    </w:p>
    <w:p w:rsidR="00595020" w:rsidRPr="00595020" w:rsidRDefault="00595020" w:rsidP="00595020">
      <w:pPr>
        <w:pStyle w:val="Prrafodelista"/>
        <w:rPr>
          <w:rFonts w:ascii="Palatino Linotype" w:hAnsi="Palatino Linotype" w:cs="Arial"/>
          <w:sz w:val="24"/>
          <w:lang w:eastAsia="es-MX"/>
        </w:rPr>
      </w:pPr>
    </w:p>
    <w:p w:rsidR="00595020" w:rsidRPr="00595020" w:rsidRDefault="00595020" w:rsidP="00595020">
      <w:pPr>
        <w:pStyle w:val="Prrafodelista"/>
        <w:numPr>
          <w:ilvl w:val="0"/>
          <w:numId w:val="2"/>
        </w:numPr>
        <w:spacing w:after="0" w:line="360" w:lineRule="auto"/>
        <w:ind w:left="426" w:hanging="426"/>
        <w:jc w:val="both"/>
        <w:rPr>
          <w:rFonts w:ascii="Palatino Linotype" w:hAnsi="Palatino Linotype" w:cs="Arial"/>
          <w:sz w:val="24"/>
        </w:rPr>
      </w:pPr>
      <w:r w:rsidRPr="00595020">
        <w:rPr>
          <w:rFonts w:ascii="Palatino Linotype" w:hAnsi="Palatino Linotype" w:cs="Arial"/>
          <w:sz w:val="24"/>
          <w:u w:val="single"/>
          <w:lang w:eastAsia="es-MX"/>
        </w:rPr>
        <w:t>De tal manera que la Litis que ocupa a este recurso, se circunscribe a determinar</w:t>
      </w:r>
      <w:r w:rsidRPr="00595020">
        <w:rPr>
          <w:rFonts w:ascii="Palatino Linotype" w:hAnsi="Palatino Linotype" w:cs="Arial"/>
          <w:sz w:val="24"/>
          <w:lang w:eastAsia="es-MX"/>
        </w:rPr>
        <w:t xml:space="preserve"> si la información solicitada la posee, administra o genera el </w:t>
      </w:r>
      <w:r w:rsidRPr="00595020">
        <w:rPr>
          <w:rFonts w:ascii="Palatino Linotype" w:hAnsi="Palatino Linotype" w:cs="Arial"/>
          <w:sz w:val="24"/>
        </w:rPr>
        <w:t>Sujeto Obligado</w:t>
      </w:r>
      <w:r w:rsidR="00DA3E33">
        <w:rPr>
          <w:rFonts w:ascii="Palatino Linotype" w:hAnsi="Palatino Linotype" w:cs="Arial"/>
          <w:sz w:val="24"/>
        </w:rPr>
        <w:t xml:space="preserve"> y si con lo ya proporcionado, colma el derecho de acceso a la información</w:t>
      </w:r>
      <w:r w:rsidRPr="00595020">
        <w:rPr>
          <w:rFonts w:ascii="Palatino Linotype" w:hAnsi="Palatino Linotype" w:cs="Arial"/>
          <w:b/>
          <w:sz w:val="24"/>
        </w:rPr>
        <w:t xml:space="preserve">, </w:t>
      </w:r>
      <w:r w:rsidRPr="00595020">
        <w:rPr>
          <w:rFonts w:ascii="Palatino Linotype" w:hAnsi="Palatino Linotype" w:cs="Arial"/>
          <w:sz w:val="24"/>
          <w:lang w:eastAsia="es-MX"/>
        </w:rPr>
        <w:t>esto ya que resulta</w:t>
      </w:r>
      <w:r w:rsidRPr="00595020">
        <w:rPr>
          <w:rFonts w:ascii="Palatino Linotype" w:hAnsi="Palatino Linotype"/>
          <w:sz w:val="24"/>
        </w:rPr>
        <w:t xml:space="preserve">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w:t>
      </w:r>
      <w:r w:rsidRPr="00595020">
        <w:rPr>
          <w:rFonts w:ascii="Palatino Linotype" w:hAnsi="Palatino Linotype"/>
          <w:b/>
          <w:sz w:val="24"/>
        </w:rPr>
        <w:t xml:space="preserve">Constitución Política de los Estados Unidos Mexicanos </w:t>
      </w:r>
      <w:r w:rsidRPr="00595020">
        <w:rPr>
          <w:rFonts w:ascii="Palatino Linotype" w:hAnsi="Palatino Linotype"/>
          <w:sz w:val="24"/>
        </w:rPr>
        <w:t xml:space="preserve">al señalar la obligación de “promover, </w:t>
      </w:r>
      <w:r w:rsidRPr="00595020">
        <w:rPr>
          <w:rFonts w:ascii="Palatino Linotype" w:hAnsi="Palatino Linotype"/>
          <w:b/>
          <w:sz w:val="24"/>
        </w:rPr>
        <w:t>respetar</w:t>
      </w:r>
      <w:r w:rsidRPr="00595020">
        <w:rPr>
          <w:rFonts w:ascii="Palatino Linotype" w:hAnsi="Palatino Linotype"/>
          <w:sz w:val="24"/>
        </w:rPr>
        <w:t xml:space="preserve">, </w:t>
      </w:r>
      <w:r w:rsidRPr="00595020">
        <w:rPr>
          <w:rFonts w:ascii="Palatino Linotype" w:hAnsi="Palatino Linotype"/>
          <w:b/>
          <w:sz w:val="24"/>
        </w:rPr>
        <w:t>proteger</w:t>
      </w:r>
      <w:r w:rsidRPr="00595020">
        <w:rPr>
          <w:rFonts w:ascii="Palatino Linotype" w:hAnsi="Palatino Linotype"/>
          <w:sz w:val="24"/>
        </w:rPr>
        <w:t xml:space="preserve"> y </w:t>
      </w:r>
      <w:r w:rsidRPr="00595020">
        <w:rPr>
          <w:rFonts w:ascii="Palatino Linotype" w:hAnsi="Palatino Linotype"/>
          <w:b/>
          <w:sz w:val="24"/>
        </w:rPr>
        <w:t>garantizar</w:t>
      </w:r>
      <w:r w:rsidRPr="00595020">
        <w:rPr>
          <w:rFonts w:ascii="Palatino Linotype" w:hAnsi="Palatino Linotype"/>
          <w:sz w:val="24"/>
        </w:rPr>
        <w:t xml:space="preserve"> los derechos humanos”, entre los cuales se encuentra dicho derecho.</w:t>
      </w:r>
    </w:p>
    <w:p w:rsidR="00595020" w:rsidRPr="00595020" w:rsidRDefault="00595020" w:rsidP="00595020">
      <w:pPr>
        <w:pStyle w:val="Prrafodelista"/>
        <w:spacing w:after="0" w:line="360" w:lineRule="auto"/>
        <w:ind w:left="426"/>
        <w:jc w:val="both"/>
        <w:rPr>
          <w:rFonts w:ascii="Palatino Linotype" w:hAnsi="Palatino Linotype" w:cs="Arial"/>
          <w:color w:val="FF0000"/>
          <w:sz w:val="24"/>
        </w:rPr>
      </w:pPr>
    </w:p>
    <w:p w:rsidR="00EA16BE" w:rsidRPr="00A3569A" w:rsidRDefault="00EA16BE" w:rsidP="00EA16BE">
      <w:pPr>
        <w:numPr>
          <w:ilvl w:val="0"/>
          <w:numId w:val="2"/>
        </w:numPr>
        <w:spacing w:after="0" w:line="360" w:lineRule="auto"/>
        <w:ind w:left="426" w:right="49" w:hanging="426"/>
        <w:contextualSpacing/>
        <w:jc w:val="both"/>
        <w:rPr>
          <w:rFonts w:ascii="Palatino Linotype" w:eastAsia="MS Mincho" w:hAnsi="Palatino Linotype" w:cstheme="majorBidi"/>
          <w:i/>
          <w:sz w:val="24"/>
          <w:szCs w:val="24"/>
          <w:lang w:eastAsia="es-ES"/>
        </w:rPr>
      </w:pPr>
      <w:r w:rsidRPr="00A3569A">
        <w:rPr>
          <w:rFonts w:ascii="Palatino Linotype" w:eastAsia="MS Mincho" w:hAnsi="Palatino Linotype" w:cstheme="majorBidi"/>
          <w:sz w:val="24"/>
          <w:szCs w:val="24"/>
          <w:lang w:val="es-ES_tradnl" w:eastAsia="es-ES"/>
        </w:rPr>
        <w:lastRenderedPageBreak/>
        <w:t xml:space="preserve">Luego entonces, el acceso a la información pública es el derecho humano a través del cual se puede </w:t>
      </w:r>
      <w:r w:rsidRPr="00A3569A">
        <w:rPr>
          <w:rFonts w:ascii="Palatino Linotype" w:eastAsia="MS Mincho" w:hAnsi="Palatino Linotype" w:cstheme="majorBidi"/>
          <w:sz w:val="24"/>
          <w:szCs w:val="24"/>
          <w:lang w:val="es-ES" w:eastAsia="es-ES"/>
        </w:rPr>
        <w:t>solicitar</w:t>
      </w:r>
      <w:r w:rsidRPr="00A3569A">
        <w:rPr>
          <w:rFonts w:ascii="Palatino Linotype" w:eastAsia="MS Mincho" w:hAnsi="Palatino Linotype" w:cstheme="majorBidi"/>
          <w:sz w:val="24"/>
          <w:szCs w:val="24"/>
          <w:lang w:val="es-ES_tradnl" w:eastAsia="es-ES"/>
        </w:rPr>
        <w:t xml:space="preserve"> a aquella información pública que generen, administren o posean las autoridades, quienes están obligados a documentar todo acto que derive sus facultades, atribuciones y competencias, siempre prevaleciendo el principio de máxima publicidad.</w:t>
      </w:r>
    </w:p>
    <w:p w:rsidR="00B45E07" w:rsidRPr="00B45E07" w:rsidRDefault="00B45E07" w:rsidP="00B45E07">
      <w:pPr>
        <w:shd w:val="clear" w:color="auto" w:fill="FFFFFF"/>
        <w:spacing w:after="200" w:line="360" w:lineRule="auto"/>
        <w:ind w:left="426"/>
        <w:contextualSpacing/>
        <w:jc w:val="both"/>
        <w:rPr>
          <w:rFonts w:ascii="Palatino Linotype" w:hAnsi="Palatino Linotype"/>
          <w:sz w:val="24"/>
          <w:szCs w:val="24"/>
        </w:rPr>
      </w:pPr>
    </w:p>
    <w:p w:rsidR="00792776" w:rsidRPr="00792776" w:rsidRDefault="00E64F11" w:rsidP="0019604C">
      <w:pPr>
        <w:keepNext/>
        <w:keepLines/>
        <w:spacing w:before="40" w:after="0"/>
        <w:outlineLvl w:val="1"/>
        <w:rPr>
          <w:rFonts w:ascii="Palatino Linotype" w:eastAsia="MS Mincho" w:hAnsi="Palatino Linotype" w:cstheme="majorBidi"/>
          <w:b/>
          <w:sz w:val="24"/>
          <w:szCs w:val="24"/>
          <w:lang w:val="es-ES_tradnl" w:eastAsia="es-ES"/>
        </w:rPr>
      </w:pPr>
      <w:bookmarkStart w:id="44" w:name="_Toc494219915"/>
      <w:bookmarkStart w:id="45" w:name="_Toc522809777"/>
      <w:r w:rsidRPr="0019604C">
        <w:rPr>
          <w:rFonts w:ascii="Palatino Linotype" w:eastAsia="MS Gothic" w:hAnsi="Palatino Linotype" w:cs="Times New Roman"/>
          <w:b/>
          <w:sz w:val="24"/>
          <w:szCs w:val="26"/>
        </w:rPr>
        <w:t>CUARTO</w:t>
      </w:r>
      <w:r w:rsidR="00792776" w:rsidRPr="00792776">
        <w:rPr>
          <w:rFonts w:ascii="Palatino Linotype" w:eastAsia="MS Mincho" w:hAnsi="Palatino Linotype" w:cstheme="majorBidi"/>
          <w:b/>
          <w:sz w:val="24"/>
          <w:szCs w:val="24"/>
          <w:lang w:val="es-ES_tradnl" w:eastAsia="es-ES"/>
        </w:rPr>
        <w:t xml:space="preserve">. </w:t>
      </w:r>
      <w:r w:rsidR="00BA1B55" w:rsidRPr="00BA1B55">
        <w:rPr>
          <w:rFonts w:ascii="Palatino Linotype" w:eastAsia="MS Mincho" w:hAnsi="Palatino Linotype" w:cstheme="majorBidi"/>
          <w:b/>
          <w:sz w:val="24"/>
          <w:szCs w:val="24"/>
          <w:lang w:val="es-ES_tradnl" w:eastAsia="es-ES"/>
        </w:rPr>
        <w:t>Del estudio y resolución del recurso de revisión</w:t>
      </w:r>
      <w:r w:rsidR="00792776" w:rsidRPr="00792776">
        <w:rPr>
          <w:rFonts w:ascii="Palatino Linotype" w:eastAsia="MS Mincho" w:hAnsi="Palatino Linotype" w:cstheme="majorBidi"/>
          <w:b/>
          <w:sz w:val="24"/>
          <w:szCs w:val="24"/>
          <w:lang w:val="es-ES_tradnl" w:eastAsia="es-ES"/>
        </w:rPr>
        <w:t>.</w:t>
      </w:r>
      <w:bookmarkEnd w:id="44"/>
      <w:bookmarkEnd w:id="45"/>
    </w:p>
    <w:p w:rsidR="00792776" w:rsidRPr="00792776" w:rsidRDefault="00792776" w:rsidP="00792776">
      <w:pPr>
        <w:rPr>
          <w:lang w:val="es-ES_tradnl" w:eastAsia="es-ES"/>
        </w:rPr>
      </w:pPr>
    </w:p>
    <w:p w:rsidR="005A72FC" w:rsidRDefault="00E96BF1" w:rsidP="005A72FC">
      <w:pPr>
        <w:pStyle w:val="Prrafodelista"/>
        <w:numPr>
          <w:ilvl w:val="0"/>
          <w:numId w:val="2"/>
        </w:numPr>
        <w:spacing w:after="0" w:line="360" w:lineRule="auto"/>
        <w:ind w:left="426" w:right="142"/>
        <w:jc w:val="both"/>
        <w:rPr>
          <w:rFonts w:ascii="Palatino Linotype" w:hAnsi="Palatino Linotype" w:cs="Arial"/>
          <w:sz w:val="24"/>
          <w:szCs w:val="24"/>
        </w:rPr>
      </w:pPr>
      <w:r w:rsidRPr="00A3569A">
        <w:rPr>
          <w:rFonts w:ascii="Palatino Linotype" w:hAnsi="Palatino Linotype" w:cs="Arial"/>
          <w:sz w:val="24"/>
          <w:szCs w:val="24"/>
        </w:rPr>
        <w:t xml:space="preserve">Derivado de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A3569A">
        <w:rPr>
          <w:rFonts w:ascii="Palatino Linotype" w:eastAsia="Calibri" w:hAnsi="Palatino Linotype" w:cs="Arial"/>
          <w:sz w:val="24"/>
          <w:szCs w:val="24"/>
          <w:lang w:val="es-ES"/>
        </w:rPr>
        <w:t>Ley de Transparencia y Acceso a la Información Pública del Estado de México y Municipios</w:t>
      </w:r>
      <w:r w:rsidR="005A72FC">
        <w:rPr>
          <w:rFonts w:ascii="Palatino Linotype" w:eastAsia="Times New Roman" w:hAnsi="Palatino Linotype" w:cs="Arial"/>
          <w:sz w:val="24"/>
          <w:szCs w:val="24"/>
          <w:lang w:val="es-ES" w:eastAsia="es-MX"/>
        </w:rPr>
        <w:t xml:space="preserve">, </w:t>
      </w:r>
      <w:r w:rsidR="005A72FC" w:rsidRPr="00B2761A">
        <w:rPr>
          <w:rFonts w:ascii="Palatino Linotype" w:hAnsi="Palatino Linotype" w:cs="Arial"/>
          <w:sz w:val="24"/>
          <w:szCs w:val="24"/>
        </w:rPr>
        <w:t xml:space="preserve">a efecto de determinar si con la información remitida por el Sujeto Obligado, a través de su respuesta e informe justificado, se colma dicha solicitud. </w:t>
      </w:r>
    </w:p>
    <w:p w:rsidR="005A72FC" w:rsidRDefault="005A72FC" w:rsidP="005A72FC">
      <w:pPr>
        <w:pStyle w:val="Prrafodelista"/>
        <w:spacing w:after="0" w:line="360" w:lineRule="auto"/>
        <w:ind w:left="426" w:right="142"/>
        <w:jc w:val="both"/>
        <w:rPr>
          <w:rFonts w:ascii="Palatino Linotype" w:hAnsi="Palatino Linotype" w:cs="Arial"/>
          <w:sz w:val="24"/>
          <w:szCs w:val="24"/>
        </w:rPr>
      </w:pPr>
    </w:p>
    <w:p w:rsidR="00E96BF1" w:rsidRDefault="00E96BF1" w:rsidP="00F96FE3">
      <w:pPr>
        <w:pStyle w:val="Prrafodelista"/>
        <w:spacing w:after="0" w:line="360" w:lineRule="auto"/>
        <w:ind w:left="426" w:right="142"/>
        <w:jc w:val="both"/>
        <w:rPr>
          <w:rFonts w:ascii="Palatino Linotype" w:hAnsi="Palatino Linotype" w:cs="Arial"/>
          <w:sz w:val="24"/>
          <w:szCs w:val="24"/>
        </w:rPr>
      </w:pPr>
    </w:p>
    <w:p w:rsidR="00F96FE3" w:rsidRPr="00DF36A8" w:rsidRDefault="006D4582" w:rsidP="007279DF">
      <w:pPr>
        <w:pStyle w:val="Prrafodelista"/>
        <w:numPr>
          <w:ilvl w:val="0"/>
          <w:numId w:val="2"/>
        </w:numPr>
        <w:spacing w:after="0" w:line="360" w:lineRule="auto"/>
        <w:ind w:left="426" w:right="142"/>
        <w:jc w:val="both"/>
        <w:rPr>
          <w:rFonts w:ascii="Palatino Linotype" w:hAnsi="Palatino Linotype" w:cs="Arial"/>
          <w:sz w:val="24"/>
          <w:szCs w:val="24"/>
        </w:rPr>
      </w:pPr>
      <w:r w:rsidRPr="006D4582">
        <w:rPr>
          <w:rFonts w:ascii="Palatino Linotype" w:hAnsi="Palatino Linotype"/>
          <w:sz w:val="24"/>
          <w:szCs w:val="24"/>
        </w:rPr>
        <w:t xml:space="preserve">Es así, como el Sujeto Obligado </w:t>
      </w:r>
      <w:r w:rsidR="007342BD" w:rsidRPr="006D4582">
        <w:rPr>
          <w:rFonts w:ascii="Palatino Linotype" w:hAnsi="Palatino Linotype"/>
          <w:sz w:val="24"/>
          <w:szCs w:val="24"/>
        </w:rPr>
        <w:t>niega la existencia de la información solicitada</w:t>
      </w:r>
      <w:r w:rsidRPr="006D4582">
        <w:rPr>
          <w:rFonts w:ascii="Palatino Linotype" w:hAnsi="Palatino Linotype"/>
          <w:sz w:val="24"/>
          <w:szCs w:val="24"/>
        </w:rPr>
        <w:t xml:space="preserve"> ya que no la genera ni la procesa</w:t>
      </w:r>
      <w:r w:rsidR="007342BD" w:rsidRPr="006D4582">
        <w:rPr>
          <w:rFonts w:ascii="Palatino Linotype" w:hAnsi="Palatino Linotype"/>
          <w:sz w:val="24"/>
          <w:szCs w:val="24"/>
        </w:rPr>
        <w:t xml:space="preserve">, </w:t>
      </w:r>
      <w:r>
        <w:rPr>
          <w:rFonts w:ascii="Palatino Linotype" w:hAnsi="Palatino Linotype"/>
          <w:sz w:val="24"/>
          <w:szCs w:val="24"/>
        </w:rPr>
        <w:t xml:space="preserve">con base en lo siguiente. </w:t>
      </w:r>
    </w:p>
    <w:p w:rsidR="00DF36A8" w:rsidRDefault="00DF36A8" w:rsidP="00DF36A8">
      <w:pPr>
        <w:pStyle w:val="Prrafodelista"/>
        <w:spacing w:after="0" w:line="240" w:lineRule="auto"/>
        <w:ind w:left="426" w:right="142"/>
        <w:jc w:val="both"/>
        <w:rPr>
          <w:rFonts w:ascii="Palatino Linotype" w:hAnsi="Palatino Linotype" w:cs="Arial"/>
          <w:sz w:val="24"/>
          <w:szCs w:val="24"/>
        </w:rPr>
      </w:pPr>
    </w:p>
    <w:p w:rsidR="00893D60" w:rsidRDefault="00893D60" w:rsidP="00893D60">
      <w:pPr>
        <w:pStyle w:val="Prrafodelista"/>
        <w:numPr>
          <w:ilvl w:val="0"/>
          <w:numId w:val="2"/>
        </w:numPr>
        <w:spacing w:after="0" w:line="360" w:lineRule="auto"/>
        <w:ind w:left="426" w:right="142"/>
        <w:jc w:val="both"/>
        <w:rPr>
          <w:rFonts w:ascii="Palatino Linotype" w:hAnsi="Palatino Linotype" w:cs="Arial"/>
          <w:sz w:val="24"/>
          <w:szCs w:val="24"/>
        </w:rPr>
      </w:pPr>
      <w:r>
        <w:rPr>
          <w:rFonts w:ascii="Palatino Linotype" w:hAnsi="Palatino Linotype" w:cs="Arial"/>
          <w:sz w:val="24"/>
          <w:szCs w:val="24"/>
        </w:rPr>
        <w:t xml:space="preserve">Indicó que </w:t>
      </w:r>
      <w:r w:rsidRPr="00893D60">
        <w:rPr>
          <w:rFonts w:ascii="Palatino Linotype" w:hAnsi="Palatino Linotype" w:cs="Arial"/>
          <w:sz w:val="24"/>
          <w:szCs w:val="24"/>
        </w:rPr>
        <w:t xml:space="preserve">la entonces Procuraduría General de Justicia del Estado de México, en coordinación con otras instancias gubernamentales Federales y del Estado </w:t>
      </w:r>
      <w:r w:rsidRPr="00893D60">
        <w:rPr>
          <w:rFonts w:ascii="Palatino Linotype" w:hAnsi="Palatino Linotype" w:cs="Arial"/>
          <w:sz w:val="24"/>
          <w:szCs w:val="24"/>
        </w:rPr>
        <w:lastRenderedPageBreak/>
        <w:t>de México implementaron para operar el Código Nacional de Procedimientos Penales, el Sistema Informático de Gestión Institucional del Procedimiento Penal en el Estado de México, (SIGIPPEM), el cual con base en un diseño de secuencias procedimentales, pantallas y formatos, permite el inicio de la noticia criminal o carpeta de investigación, así como el registro institucional de las actuaciones realizadas en la misma, tanto por parte del policía investigador, del perito y del Ministerio Público durante las tres etapas del procedimiento</w:t>
      </w:r>
      <w:r>
        <w:rPr>
          <w:rFonts w:ascii="Palatino Linotype" w:hAnsi="Palatino Linotype" w:cs="Arial"/>
          <w:sz w:val="24"/>
          <w:szCs w:val="24"/>
        </w:rPr>
        <w:t xml:space="preserve"> (</w:t>
      </w:r>
      <w:r w:rsidRPr="00893D60">
        <w:rPr>
          <w:rFonts w:ascii="Palatino Linotype" w:hAnsi="Palatino Linotype" w:cs="Arial"/>
          <w:sz w:val="24"/>
          <w:szCs w:val="24"/>
        </w:rPr>
        <w:t>la investigación, la intermedia y el juicio; así como del facilitador experto en justicia restaurativa en su procedimiento del mecanismo alternativo de solución de controversias</w:t>
      </w:r>
      <w:r>
        <w:rPr>
          <w:rFonts w:ascii="Palatino Linotype" w:hAnsi="Palatino Linotype" w:cs="Arial"/>
          <w:sz w:val="24"/>
          <w:szCs w:val="24"/>
        </w:rPr>
        <w:t>)</w:t>
      </w:r>
      <w:r w:rsidRPr="00893D60">
        <w:rPr>
          <w:rFonts w:ascii="Palatino Linotype" w:hAnsi="Palatino Linotype" w:cs="Arial"/>
          <w:sz w:val="24"/>
          <w:szCs w:val="24"/>
        </w:rPr>
        <w:t xml:space="preserve">, mismo que es de uso obligatorio conforme al Acuerdo número 16/2016, del entonces Procurador General de Justicia del Estado de México. </w:t>
      </w:r>
    </w:p>
    <w:p w:rsidR="00893D60" w:rsidRPr="00893D60" w:rsidRDefault="00893D60" w:rsidP="00893D60">
      <w:pPr>
        <w:pStyle w:val="Prrafodelista"/>
        <w:rPr>
          <w:rFonts w:ascii="Palatino Linotype" w:hAnsi="Palatino Linotype" w:cs="Arial"/>
          <w:sz w:val="24"/>
          <w:szCs w:val="24"/>
        </w:rPr>
      </w:pPr>
    </w:p>
    <w:p w:rsidR="009E35B9" w:rsidRDefault="00893D60" w:rsidP="00070869">
      <w:pPr>
        <w:pStyle w:val="Prrafodelista"/>
        <w:numPr>
          <w:ilvl w:val="0"/>
          <w:numId w:val="2"/>
        </w:numPr>
        <w:spacing w:after="0" w:line="360" w:lineRule="auto"/>
        <w:ind w:left="426" w:right="142"/>
        <w:jc w:val="both"/>
        <w:rPr>
          <w:rFonts w:ascii="Palatino Linotype" w:hAnsi="Palatino Linotype" w:cs="Arial"/>
          <w:sz w:val="24"/>
          <w:szCs w:val="24"/>
        </w:rPr>
      </w:pPr>
      <w:r w:rsidRPr="009E35B9">
        <w:rPr>
          <w:rFonts w:ascii="Palatino Linotype" w:hAnsi="Palatino Linotype" w:cs="Arial"/>
          <w:sz w:val="24"/>
          <w:szCs w:val="24"/>
        </w:rPr>
        <w:t>Sin embargo, el “SIGIPPEM”, fue sustituido por Sistema Informático de Gestión Institucional “SIGI”, en atención a la actualización del Código Nacional de Procedimientos Penales, en diversos puntos encaminados al acceso ágil y eficaz en materia de procuración de justicia, por lo que a través del Acuerdo 10/2018, del Fiscal General de Justicia del Esta</w:t>
      </w:r>
      <w:r w:rsidR="00382E32">
        <w:rPr>
          <w:rFonts w:ascii="Palatino Linotype" w:hAnsi="Palatino Linotype" w:cs="Arial"/>
          <w:sz w:val="24"/>
          <w:szCs w:val="24"/>
        </w:rPr>
        <w:t>do de México, se creó e instruyó</w:t>
      </w:r>
      <w:r w:rsidRPr="009E35B9">
        <w:rPr>
          <w:rFonts w:ascii="Palatino Linotype" w:hAnsi="Palatino Linotype" w:cs="Arial"/>
          <w:sz w:val="24"/>
          <w:szCs w:val="24"/>
        </w:rPr>
        <w:t xml:space="preserve"> su funcionamiento. Dicho sistema que tiene por objeto la modernización de las actuaciones ministeriales a las nuevas tecnologías de la información y comunicación, incluyendo la posibilidad de desarrollar diversas actuaciones, incluso en coordinación con otras autoridades, de los cuales no se desprende alguna normatividad jurídica que obliguen a este órgano público autónomo, al procesamiento o elaboración de información estadística, por </w:t>
      </w:r>
      <w:r w:rsidRPr="009E35B9">
        <w:rPr>
          <w:rFonts w:ascii="Palatino Linotype" w:hAnsi="Palatino Linotype" w:cs="Arial"/>
          <w:sz w:val="24"/>
          <w:szCs w:val="24"/>
        </w:rPr>
        <w:lastRenderedPageBreak/>
        <w:t xml:space="preserve">número de NIC o NUC, relacionado con el tipo de delito o zona de la comisión de hecho. </w:t>
      </w:r>
    </w:p>
    <w:p w:rsidR="009E35B9" w:rsidRPr="009E35B9" w:rsidRDefault="009E35B9" w:rsidP="009E35B9">
      <w:pPr>
        <w:pStyle w:val="Prrafodelista"/>
        <w:rPr>
          <w:rFonts w:ascii="Palatino Linotype" w:hAnsi="Palatino Linotype" w:cs="Arial"/>
          <w:sz w:val="24"/>
          <w:szCs w:val="24"/>
        </w:rPr>
      </w:pPr>
    </w:p>
    <w:p w:rsidR="00893D60" w:rsidRDefault="009E35B9" w:rsidP="009E35B9">
      <w:pPr>
        <w:pStyle w:val="Prrafodelista"/>
        <w:numPr>
          <w:ilvl w:val="0"/>
          <w:numId w:val="2"/>
        </w:numPr>
        <w:spacing w:after="0" w:line="360" w:lineRule="auto"/>
        <w:ind w:left="426" w:right="142"/>
        <w:jc w:val="both"/>
        <w:rPr>
          <w:rFonts w:ascii="Palatino Linotype" w:hAnsi="Palatino Linotype" w:cs="Arial"/>
          <w:sz w:val="24"/>
          <w:szCs w:val="24"/>
        </w:rPr>
      </w:pPr>
      <w:r w:rsidRPr="009E35B9">
        <w:rPr>
          <w:rFonts w:ascii="Palatino Linotype" w:hAnsi="Palatino Linotype" w:cs="Arial"/>
          <w:sz w:val="24"/>
          <w:szCs w:val="24"/>
        </w:rPr>
        <w:t xml:space="preserve">Finalmente, </w:t>
      </w:r>
      <w:r w:rsidR="00996047">
        <w:rPr>
          <w:rFonts w:ascii="Palatino Linotype" w:hAnsi="Palatino Linotype" w:cs="Arial"/>
          <w:sz w:val="24"/>
          <w:szCs w:val="24"/>
        </w:rPr>
        <w:t xml:space="preserve">indica que </w:t>
      </w:r>
      <w:r w:rsidRPr="009E35B9">
        <w:rPr>
          <w:rFonts w:ascii="Palatino Linotype" w:hAnsi="Palatino Linotype" w:cs="Arial"/>
          <w:sz w:val="24"/>
          <w:szCs w:val="24"/>
        </w:rPr>
        <w:t>Ley de la Fiscalía General de Justicia del Estado de México</w:t>
      </w:r>
      <w:r>
        <w:rPr>
          <w:rFonts w:ascii="Palatino Linotype" w:hAnsi="Palatino Linotype" w:cs="Arial"/>
          <w:sz w:val="24"/>
          <w:szCs w:val="24"/>
        </w:rPr>
        <w:t xml:space="preserve"> establece </w:t>
      </w:r>
      <w:r w:rsidR="00893D60" w:rsidRPr="009E35B9">
        <w:rPr>
          <w:rFonts w:ascii="Palatino Linotype" w:hAnsi="Palatino Linotype" w:cs="Arial"/>
          <w:sz w:val="24"/>
          <w:szCs w:val="24"/>
        </w:rPr>
        <w:t>las atribuciones y obligaciones del Ministerio Público, así como el registro de sus actuaciones en un Sistema Informático de la Fiscalía</w:t>
      </w:r>
      <w:r>
        <w:rPr>
          <w:rFonts w:ascii="Palatino Linotype" w:hAnsi="Palatino Linotype" w:cs="Arial"/>
          <w:sz w:val="24"/>
          <w:szCs w:val="24"/>
        </w:rPr>
        <w:t xml:space="preserve">, por lo que </w:t>
      </w:r>
      <w:r w:rsidR="00893D60" w:rsidRPr="009E35B9">
        <w:rPr>
          <w:rFonts w:ascii="Palatino Linotype" w:hAnsi="Palatino Linotype" w:cs="Arial"/>
          <w:sz w:val="24"/>
          <w:szCs w:val="24"/>
        </w:rPr>
        <w:t>se refiere únicamente a la utilización de los sistemas antes mencionados y no así un sistema que genere información por NIC o por NUC</w:t>
      </w:r>
      <w:r>
        <w:rPr>
          <w:rFonts w:ascii="Palatino Linotype" w:hAnsi="Palatino Linotype" w:cs="Arial"/>
          <w:sz w:val="24"/>
          <w:szCs w:val="24"/>
        </w:rPr>
        <w:t>.</w:t>
      </w:r>
    </w:p>
    <w:p w:rsidR="005513C0" w:rsidRPr="005513C0" w:rsidRDefault="005513C0" w:rsidP="005513C0">
      <w:pPr>
        <w:pStyle w:val="Prrafodelista"/>
        <w:rPr>
          <w:rFonts w:ascii="Palatino Linotype" w:hAnsi="Palatino Linotype" w:cs="Arial"/>
          <w:sz w:val="24"/>
          <w:szCs w:val="24"/>
        </w:rPr>
      </w:pPr>
    </w:p>
    <w:p w:rsidR="005513C0" w:rsidRDefault="005513C0" w:rsidP="009E35B9">
      <w:pPr>
        <w:pStyle w:val="Prrafodelista"/>
        <w:numPr>
          <w:ilvl w:val="0"/>
          <w:numId w:val="2"/>
        </w:numPr>
        <w:spacing w:after="0" w:line="360" w:lineRule="auto"/>
        <w:ind w:left="426" w:right="142"/>
        <w:jc w:val="both"/>
        <w:rPr>
          <w:rFonts w:ascii="Palatino Linotype" w:hAnsi="Palatino Linotype" w:cs="Arial"/>
          <w:sz w:val="24"/>
          <w:szCs w:val="24"/>
        </w:rPr>
      </w:pPr>
      <w:r>
        <w:rPr>
          <w:rFonts w:ascii="Palatino Linotype" w:hAnsi="Palatino Linotype" w:cs="Arial"/>
          <w:sz w:val="24"/>
          <w:szCs w:val="24"/>
        </w:rPr>
        <w:t xml:space="preserve">Es así como derivado de lo indicado por el Sujeto Obligado, esta Ponencia realiza los siguientes </w:t>
      </w:r>
      <w:r w:rsidR="00AE2C2E">
        <w:rPr>
          <w:rFonts w:ascii="Palatino Linotype" w:hAnsi="Palatino Linotype" w:cs="Arial"/>
          <w:sz w:val="24"/>
          <w:szCs w:val="24"/>
        </w:rPr>
        <w:t>señalamientos</w:t>
      </w:r>
      <w:r>
        <w:rPr>
          <w:rFonts w:ascii="Palatino Linotype" w:hAnsi="Palatino Linotype" w:cs="Arial"/>
          <w:sz w:val="24"/>
          <w:szCs w:val="24"/>
        </w:rPr>
        <w:t xml:space="preserve">: </w:t>
      </w:r>
    </w:p>
    <w:p w:rsidR="005513C0" w:rsidRPr="005513C0" w:rsidRDefault="005513C0" w:rsidP="005513C0">
      <w:pPr>
        <w:pStyle w:val="Prrafodelista"/>
        <w:rPr>
          <w:rFonts w:ascii="Palatino Linotype" w:hAnsi="Palatino Linotype" w:cs="Arial"/>
          <w:sz w:val="24"/>
          <w:szCs w:val="24"/>
        </w:rPr>
      </w:pPr>
    </w:p>
    <w:p w:rsidR="005513C0" w:rsidRDefault="00C5480A" w:rsidP="009E35B9">
      <w:pPr>
        <w:pStyle w:val="Prrafodelista"/>
        <w:numPr>
          <w:ilvl w:val="0"/>
          <w:numId w:val="2"/>
        </w:numPr>
        <w:spacing w:after="0" w:line="360" w:lineRule="auto"/>
        <w:ind w:left="426" w:right="142"/>
        <w:jc w:val="both"/>
        <w:rPr>
          <w:rFonts w:ascii="Palatino Linotype" w:hAnsi="Palatino Linotype" w:cs="Arial"/>
          <w:sz w:val="24"/>
          <w:szCs w:val="24"/>
        </w:rPr>
      </w:pPr>
      <w:r>
        <w:rPr>
          <w:rFonts w:ascii="Palatino Linotype" w:hAnsi="Palatino Linotype" w:cs="Arial"/>
          <w:sz w:val="24"/>
          <w:szCs w:val="24"/>
        </w:rPr>
        <w:t>El Sujeto Obligado si bien señala que no genera ni procesa información también lo es, que conoce dichos términos, además, no especifica si administra dicha información,</w:t>
      </w:r>
      <w:r w:rsidR="00CB2474">
        <w:rPr>
          <w:rFonts w:ascii="Palatino Linotype" w:hAnsi="Palatino Linotype" w:cs="Arial"/>
          <w:sz w:val="24"/>
          <w:szCs w:val="24"/>
        </w:rPr>
        <w:t xml:space="preserve"> </w:t>
      </w:r>
      <w:r>
        <w:rPr>
          <w:rFonts w:ascii="Palatino Linotype" w:hAnsi="Palatino Linotype" w:cs="Arial"/>
          <w:sz w:val="24"/>
          <w:szCs w:val="24"/>
        </w:rPr>
        <w:t xml:space="preserve">por lo cual, es importante remitirnos a la normatividad aplicable. </w:t>
      </w:r>
    </w:p>
    <w:p w:rsidR="005711E5" w:rsidRPr="005711E5" w:rsidRDefault="005711E5" w:rsidP="005711E5">
      <w:pPr>
        <w:pStyle w:val="Prrafodelista"/>
        <w:rPr>
          <w:rFonts w:ascii="Palatino Linotype" w:hAnsi="Palatino Linotype" w:cs="Arial"/>
          <w:sz w:val="24"/>
          <w:szCs w:val="24"/>
        </w:rPr>
      </w:pPr>
    </w:p>
    <w:p w:rsidR="005711E5" w:rsidRDefault="005711E5" w:rsidP="005711E5">
      <w:pPr>
        <w:pStyle w:val="Prrafodelista"/>
        <w:numPr>
          <w:ilvl w:val="0"/>
          <w:numId w:val="2"/>
        </w:numPr>
        <w:spacing w:after="0" w:line="360" w:lineRule="auto"/>
        <w:ind w:left="426" w:right="142"/>
        <w:jc w:val="both"/>
        <w:rPr>
          <w:rFonts w:ascii="Palatino Linotype" w:hAnsi="Palatino Linotype" w:cs="Arial"/>
          <w:sz w:val="24"/>
          <w:szCs w:val="24"/>
        </w:rPr>
      </w:pPr>
      <w:r>
        <w:rPr>
          <w:rFonts w:ascii="Palatino Linotype" w:hAnsi="Palatino Linotype" w:cs="Arial"/>
          <w:sz w:val="24"/>
          <w:szCs w:val="24"/>
        </w:rPr>
        <w:t xml:space="preserve">En primer término, la </w:t>
      </w:r>
      <w:r w:rsidRPr="000D2156">
        <w:rPr>
          <w:rFonts w:ascii="Palatino Linotype" w:hAnsi="Palatino Linotype" w:cs="Arial"/>
          <w:sz w:val="24"/>
          <w:szCs w:val="24"/>
        </w:rPr>
        <w:t>Ley de la Fiscalía General de Justicia del Estado de México</w:t>
      </w:r>
      <w:r>
        <w:rPr>
          <w:rFonts w:ascii="Palatino Linotype" w:hAnsi="Palatino Linotype" w:cs="Arial"/>
          <w:sz w:val="24"/>
          <w:szCs w:val="24"/>
        </w:rPr>
        <w:t xml:space="preserve"> establece como objeto el</w:t>
      </w:r>
      <w:r w:rsidRPr="000C5FF7">
        <w:rPr>
          <w:rFonts w:ascii="Palatino Linotype" w:hAnsi="Palatino Linotype" w:cs="Arial"/>
          <w:sz w:val="24"/>
          <w:szCs w:val="24"/>
        </w:rPr>
        <w:t xml:space="preserve"> establecer </w:t>
      </w:r>
      <w:r>
        <w:rPr>
          <w:rFonts w:ascii="Palatino Linotype" w:hAnsi="Palatino Linotype" w:cs="Arial"/>
          <w:sz w:val="24"/>
          <w:szCs w:val="24"/>
        </w:rPr>
        <w:t>sus</w:t>
      </w:r>
      <w:r w:rsidRPr="000C5FF7">
        <w:rPr>
          <w:rFonts w:ascii="Palatino Linotype" w:hAnsi="Palatino Linotype" w:cs="Arial"/>
          <w:sz w:val="24"/>
          <w:szCs w:val="24"/>
        </w:rPr>
        <w:t xml:space="preserve"> atribuciones, organización y funciones</w:t>
      </w:r>
      <w:r w:rsidR="00F94B98">
        <w:rPr>
          <w:rFonts w:ascii="Palatino Linotype" w:hAnsi="Palatino Linotype" w:cs="Arial"/>
          <w:sz w:val="24"/>
          <w:szCs w:val="24"/>
        </w:rPr>
        <w:t>, como a continuación se aprecia:</w:t>
      </w:r>
    </w:p>
    <w:p w:rsidR="005711E5" w:rsidRPr="00732B50" w:rsidRDefault="00F94B98" w:rsidP="0056471D">
      <w:pPr>
        <w:spacing w:after="0" w:line="276" w:lineRule="auto"/>
        <w:ind w:left="851" w:right="902"/>
        <w:jc w:val="both"/>
        <w:rPr>
          <w:rFonts w:ascii="Palatino Linotype" w:hAnsi="Palatino Linotype"/>
          <w:i/>
        </w:rPr>
      </w:pPr>
      <w:r>
        <w:rPr>
          <w:rFonts w:ascii="Palatino Linotype" w:hAnsi="Palatino Linotype"/>
          <w:b/>
          <w:i/>
        </w:rPr>
        <w:t>“</w:t>
      </w:r>
      <w:r w:rsidR="005711E5" w:rsidRPr="00F94B98">
        <w:rPr>
          <w:rFonts w:ascii="Palatino Linotype" w:hAnsi="Palatino Linotype"/>
          <w:b/>
          <w:i/>
        </w:rPr>
        <w:t>Artículo 10.</w:t>
      </w:r>
      <w:r w:rsidR="005711E5" w:rsidRPr="00732B50">
        <w:rPr>
          <w:rFonts w:ascii="Palatino Linotype" w:hAnsi="Palatino Linotype"/>
          <w:i/>
        </w:rPr>
        <w:t xml:space="preserve"> La </w:t>
      </w:r>
      <w:r w:rsidR="005711E5" w:rsidRPr="0056471D">
        <w:rPr>
          <w:rFonts w:ascii="Palatino Linotype" w:hAnsi="Palatino Linotype"/>
          <w:i/>
          <w:u w:val="single"/>
        </w:rPr>
        <w:t>Fiscalía</w:t>
      </w:r>
      <w:r w:rsidR="005711E5" w:rsidRPr="00732B50">
        <w:rPr>
          <w:rFonts w:ascii="Palatino Linotype" w:hAnsi="Palatino Linotype"/>
          <w:i/>
        </w:rPr>
        <w:t xml:space="preserve"> contará con las </w:t>
      </w:r>
      <w:r w:rsidR="005711E5" w:rsidRPr="0056471D">
        <w:rPr>
          <w:rFonts w:ascii="Palatino Linotype" w:hAnsi="Palatino Linotype"/>
          <w:i/>
          <w:u w:val="single"/>
        </w:rPr>
        <w:t>atribuciones</w:t>
      </w:r>
      <w:r w:rsidR="005711E5" w:rsidRPr="00732B50">
        <w:rPr>
          <w:rFonts w:ascii="Palatino Linotype" w:hAnsi="Palatino Linotype"/>
          <w:i/>
        </w:rPr>
        <w:t xml:space="preserve"> siguientes:</w:t>
      </w:r>
    </w:p>
    <w:p w:rsidR="005711E5" w:rsidRPr="00732B50" w:rsidRDefault="005711E5"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 </w:t>
      </w:r>
    </w:p>
    <w:p w:rsidR="005711E5" w:rsidRPr="00732B50" w:rsidRDefault="005711E5"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XVII. Establecer </w:t>
      </w:r>
      <w:r w:rsidRPr="0056471D">
        <w:rPr>
          <w:rFonts w:ascii="Palatino Linotype" w:hAnsi="Palatino Linotype"/>
          <w:i/>
          <w:u w:val="single"/>
        </w:rPr>
        <w:t>medios de información sistemática</w:t>
      </w:r>
      <w:r w:rsidRPr="00732B50">
        <w:rPr>
          <w:rFonts w:ascii="Palatino Linotype" w:hAnsi="Palatino Linotype"/>
          <w:i/>
        </w:rPr>
        <w:t xml:space="preserve"> y directa con la sociedad, de sus actividades, garantizando el acceso a la información de la Fiscalía, en los términos y con las limitantes establecidas en la Constitución Federal, la Constitución del Estado y en las demás disposiciones jurídicas aplicables. </w:t>
      </w:r>
    </w:p>
    <w:p w:rsidR="005711E5" w:rsidRPr="00732B50" w:rsidRDefault="005711E5" w:rsidP="0056471D">
      <w:pPr>
        <w:spacing w:after="0" w:line="276" w:lineRule="auto"/>
        <w:ind w:left="851" w:right="902"/>
        <w:jc w:val="both"/>
        <w:rPr>
          <w:rFonts w:ascii="Palatino Linotype" w:hAnsi="Palatino Linotype"/>
          <w:i/>
        </w:rPr>
      </w:pPr>
      <w:r w:rsidRPr="00732B50">
        <w:rPr>
          <w:rFonts w:ascii="Palatino Linotype" w:hAnsi="Palatino Linotype"/>
          <w:i/>
        </w:rPr>
        <w:lastRenderedPageBreak/>
        <w:t>…</w:t>
      </w:r>
    </w:p>
    <w:p w:rsidR="005711E5" w:rsidRPr="00732B50" w:rsidRDefault="0056471D" w:rsidP="0056471D">
      <w:pPr>
        <w:spacing w:after="0" w:line="276" w:lineRule="auto"/>
        <w:ind w:left="851" w:right="902"/>
        <w:jc w:val="both"/>
        <w:rPr>
          <w:rFonts w:ascii="Palatino Linotype" w:hAnsi="Palatino Linotype"/>
          <w:i/>
        </w:rPr>
      </w:pPr>
      <w:r w:rsidRPr="0056471D">
        <w:rPr>
          <w:rFonts w:ascii="Palatino Linotype" w:hAnsi="Palatino Linotype"/>
          <w:b/>
          <w:i/>
        </w:rPr>
        <w:t xml:space="preserve">Artículo </w:t>
      </w:r>
      <w:r w:rsidR="005711E5" w:rsidRPr="0056471D">
        <w:rPr>
          <w:rFonts w:ascii="Palatino Linotype" w:hAnsi="Palatino Linotype"/>
          <w:b/>
          <w:i/>
        </w:rPr>
        <w:t>22</w:t>
      </w:r>
      <w:r w:rsidR="005711E5" w:rsidRPr="00732B50">
        <w:rPr>
          <w:rFonts w:ascii="Palatino Linotype" w:hAnsi="Palatino Linotype"/>
          <w:i/>
        </w:rPr>
        <w:t xml:space="preserve">. A </w:t>
      </w:r>
      <w:r w:rsidR="005711E5" w:rsidRPr="0056471D">
        <w:rPr>
          <w:rFonts w:ascii="Palatino Linotype" w:hAnsi="Palatino Linotype"/>
          <w:i/>
          <w:u w:val="single"/>
        </w:rPr>
        <w:t>la o el Fiscal General</w:t>
      </w:r>
      <w:r w:rsidR="005711E5" w:rsidRPr="00732B50">
        <w:rPr>
          <w:rFonts w:ascii="Palatino Linotype" w:hAnsi="Palatino Linotype"/>
          <w:i/>
        </w:rPr>
        <w:t xml:space="preserve"> le corresponden las </w:t>
      </w:r>
      <w:r w:rsidR="005711E5" w:rsidRPr="0056471D">
        <w:rPr>
          <w:rFonts w:ascii="Palatino Linotype" w:hAnsi="Palatino Linotype"/>
          <w:i/>
          <w:u w:val="single"/>
        </w:rPr>
        <w:t>atribuciones</w:t>
      </w:r>
      <w:r w:rsidR="005711E5" w:rsidRPr="00732B50">
        <w:rPr>
          <w:rFonts w:ascii="Palatino Linotype" w:hAnsi="Palatino Linotype"/>
          <w:i/>
        </w:rPr>
        <w:t xml:space="preserve"> siguientes:</w:t>
      </w:r>
    </w:p>
    <w:p w:rsidR="005711E5" w:rsidRPr="00732B50" w:rsidRDefault="005711E5" w:rsidP="0056471D">
      <w:pPr>
        <w:spacing w:after="0" w:line="276" w:lineRule="auto"/>
        <w:ind w:left="851" w:right="902"/>
        <w:jc w:val="both"/>
        <w:rPr>
          <w:rFonts w:ascii="Palatino Linotype" w:hAnsi="Palatino Linotype"/>
          <w:i/>
        </w:rPr>
      </w:pPr>
      <w:r w:rsidRPr="00732B50">
        <w:rPr>
          <w:rFonts w:ascii="Palatino Linotype" w:hAnsi="Palatino Linotype"/>
          <w:i/>
        </w:rPr>
        <w:t>…</w:t>
      </w:r>
    </w:p>
    <w:p w:rsidR="005711E5" w:rsidRPr="00732B50" w:rsidRDefault="005711E5"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XLIV. Promover </w:t>
      </w:r>
      <w:r w:rsidRPr="0056471D">
        <w:rPr>
          <w:rFonts w:ascii="Palatino Linotype" w:hAnsi="Palatino Linotype"/>
          <w:i/>
          <w:u w:val="single"/>
        </w:rPr>
        <w:t>la integración de sistemas de análisis de información e inteligencia que sean necesarios para el desarrollo de investigaciones y el cumplimiento de las funciones de la Fiscalía</w:t>
      </w:r>
      <w:r w:rsidRPr="00732B50">
        <w:rPr>
          <w:rFonts w:ascii="Palatino Linotype" w:hAnsi="Palatino Linotype"/>
          <w:i/>
        </w:rPr>
        <w:t>.</w:t>
      </w:r>
    </w:p>
    <w:p w:rsidR="005711E5" w:rsidRPr="00732B50" w:rsidRDefault="005711E5" w:rsidP="0056471D">
      <w:pPr>
        <w:spacing w:after="0" w:line="276" w:lineRule="auto"/>
        <w:ind w:left="851" w:right="902"/>
        <w:jc w:val="both"/>
        <w:rPr>
          <w:rFonts w:ascii="Palatino Linotype" w:hAnsi="Palatino Linotype"/>
          <w:i/>
        </w:rPr>
      </w:pPr>
      <w:r w:rsidRPr="00732B50">
        <w:rPr>
          <w:rFonts w:ascii="Palatino Linotype" w:hAnsi="Palatino Linotype"/>
          <w:i/>
        </w:rPr>
        <w:t>…</w:t>
      </w:r>
    </w:p>
    <w:p w:rsidR="005711E5" w:rsidRPr="00732B50" w:rsidRDefault="005711E5" w:rsidP="0056471D">
      <w:pPr>
        <w:spacing w:after="0" w:line="276" w:lineRule="auto"/>
        <w:ind w:left="851" w:right="902"/>
        <w:jc w:val="both"/>
        <w:rPr>
          <w:rFonts w:ascii="Palatino Linotype" w:hAnsi="Palatino Linotype"/>
          <w:i/>
        </w:rPr>
      </w:pPr>
      <w:r w:rsidRPr="0056471D">
        <w:rPr>
          <w:rFonts w:ascii="Palatino Linotype" w:hAnsi="Palatino Linotype"/>
          <w:b/>
          <w:i/>
        </w:rPr>
        <w:t>Artículo 30.</w:t>
      </w:r>
      <w:r w:rsidRPr="00732B50">
        <w:rPr>
          <w:rFonts w:ascii="Palatino Linotype" w:hAnsi="Palatino Linotype"/>
          <w:i/>
        </w:rPr>
        <w:t xml:space="preserve"> Para el desarrollo de las funciones de la Fiscalía, </w:t>
      </w:r>
      <w:r w:rsidRPr="0056471D">
        <w:rPr>
          <w:rFonts w:ascii="Palatino Linotype" w:hAnsi="Palatino Linotype"/>
          <w:i/>
          <w:u w:val="single"/>
        </w:rPr>
        <w:t>se contará con un sistema de especialización y organización territorial</w:t>
      </w:r>
      <w:r w:rsidRPr="00732B50">
        <w:rPr>
          <w:rFonts w:ascii="Palatino Linotype" w:hAnsi="Palatino Linotype"/>
          <w:i/>
        </w:rPr>
        <w:t xml:space="preserve">, </w:t>
      </w:r>
      <w:proofErr w:type="gramStart"/>
      <w:r w:rsidRPr="00732B50">
        <w:rPr>
          <w:rFonts w:ascii="Palatino Linotype" w:hAnsi="Palatino Linotype"/>
          <w:i/>
        </w:rPr>
        <w:t>sujeto</w:t>
      </w:r>
      <w:proofErr w:type="gramEnd"/>
      <w:r w:rsidRPr="00732B50">
        <w:rPr>
          <w:rFonts w:ascii="Palatino Linotype" w:hAnsi="Palatino Linotype"/>
          <w:i/>
        </w:rPr>
        <w:t xml:space="preserve"> a las bases generales siguientes: </w:t>
      </w:r>
    </w:p>
    <w:p w:rsidR="005711E5" w:rsidRPr="00732B50" w:rsidRDefault="005711E5"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I. </w:t>
      </w:r>
      <w:r w:rsidRPr="0056471D">
        <w:rPr>
          <w:rFonts w:ascii="Palatino Linotype" w:hAnsi="Palatino Linotype"/>
          <w:i/>
          <w:u w:val="single"/>
        </w:rPr>
        <w:t>Sistema de especialización</w:t>
      </w:r>
      <w:r w:rsidRPr="00732B50">
        <w:rPr>
          <w:rFonts w:ascii="Palatino Linotype" w:hAnsi="Palatino Linotype"/>
          <w:i/>
        </w:rPr>
        <w:t xml:space="preserve">: </w:t>
      </w:r>
    </w:p>
    <w:p w:rsidR="005711E5" w:rsidRPr="00732B50" w:rsidRDefault="005711E5"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a) Tiene como objetivo que la </w:t>
      </w:r>
      <w:r w:rsidRPr="0056471D">
        <w:rPr>
          <w:rFonts w:ascii="Palatino Linotype" w:hAnsi="Palatino Linotype"/>
          <w:i/>
          <w:u w:val="single"/>
        </w:rPr>
        <w:t>investigación y persecución</w:t>
      </w:r>
      <w:r w:rsidRPr="00732B50">
        <w:rPr>
          <w:rFonts w:ascii="Palatino Linotype" w:hAnsi="Palatino Linotype"/>
          <w:i/>
        </w:rPr>
        <w:t xml:space="preserve"> de delitos que por su complejidad, mayor impacto social, características peculiares o </w:t>
      </w:r>
      <w:r w:rsidRPr="0056471D">
        <w:rPr>
          <w:rFonts w:ascii="Palatino Linotype" w:hAnsi="Palatino Linotype"/>
          <w:i/>
          <w:u w:val="single"/>
        </w:rPr>
        <w:t>incidencia en el territorio del Estado</w:t>
      </w:r>
      <w:r w:rsidRPr="00732B50">
        <w:rPr>
          <w:rFonts w:ascii="Palatino Linotype" w:hAnsi="Palatino Linotype"/>
          <w:i/>
        </w:rPr>
        <w:t xml:space="preserve">, se lleven a cabo por Fiscalías Especializadas, en los términos de la presente Ley, su Reglamento y demás disposiciones jurídicas aplicables. </w:t>
      </w:r>
    </w:p>
    <w:p w:rsidR="005711E5" w:rsidRPr="00732B50" w:rsidRDefault="005711E5"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b) Las Fiscalías Especializadas en la investigación actuarán en todo el territorio del Estado de México en coordinación con las demás unidades administrativas de la Fiscalía. </w:t>
      </w:r>
    </w:p>
    <w:p w:rsidR="005711E5" w:rsidRPr="00732B50" w:rsidRDefault="005711E5"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c) Las Fiscalías Especializadas, según su nivel orgánico, funcional y presupuestal, podrán contar con direcciones de área, subdirecciones, jefaturas de departamento </w:t>
      </w: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II. Sistema de organización territorial: </w:t>
      </w:r>
    </w:p>
    <w:p w:rsidR="00732B50" w:rsidRPr="00732B50" w:rsidRDefault="00732B50" w:rsidP="0056471D">
      <w:pPr>
        <w:spacing w:after="0" w:line="276" w:lineRule="auto"/>
        <w:ind w:left="851" w:right="902"/>
        <w:jc w:val="both"/>
        <w:rPr>
          <w:rFonts w:ascii="Palatino Linotype" w:hAnsi="Palatino Linotype"/>
          <w:i/>
        </w:rPr>
      </w:pP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a) Tiene como objetivo </w:t>
      </w:r>
      <w:r w:rsidRPr="0056471D">
        <w:rPr>
          <w:rFonts w:ascii="Palatino Linotype" w:hAnsi="Palatino Linotype"/>
          <w:i/>
          <w:u w:val="single"/>
        </w:rPr>
        <w:t>que la investigación y persecución de delitos</w:t>
      </w:r>
      <w:r w:rsidRPr="00732B50">
        <w:rPr>
          <w:rFonts w:ascii="Palatino Linotype" w:hAnsi="Palatino Linotype"/>
          <w:i/>
        </w:rPr>
        <w:t xml:space="preserve">, distintos a los que se determinen o califiquen como de atención especializada, se lleven a cabo </w:t>
      </w:r>
      <w:r w:rsidRPr="0056471D">
        <w:rPr>
          <w:rFonts w:ascii="Palatino Linotype" w:hAnsi="Palatino Linotype"/>
          <w:i/>
          <w:u w:val="single"/>
        </w:rPr>
        <w:t>en la región donde tenga lugar el delito</w:t>
      </w:r>
      <w:r w:rsidRPr="00732B50">
        <w:rPr>
          <w:rFonts w:ascii="Palatino Linotype" w:hAnsi="Palatino Linotype"/>
          <w:i/>
        </w:rPr>
        <w:t xml:space="preserve"> y auxiliar a las Fiscalías Especializadas, en los términos que determine la o el Fiscal General. </w:t>
      </w: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B) La o el Fiscal General podrá establecer fiscalías regionales en circunscripciones que abarcarán uno o más municipios o regiones del Estado de México. </w:t>
      </w: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c) Las sedes de las fiscalías regionales serán definidas atendiendo a la incidencia delictiva, densidad de población, las características geográficas del Estado de México y la correcta distribución de las cargas de trabajo. </w:t>
      </w:r>
    </w:p>
    <w:p w:rsidR="005711E5"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lastRenderedPageBreak/>
        <w:t>Las fiscalías regionales y especializadas contarán con las y los servidores públicos que ejercerán sus funciones en la circunscripción territorial que determine la o el Fiscal General a través de Acuerdo.</w:t>
      </w:r>
    </w:p>
    <w:p w:rsidR="00732B50" w:rsidRPr="00732B50" w:rsidRDefault="00732B50" w:rsidP="0056471D">
      <w:pPr>
        <w:spacing w:after="0" w:line="276" w:lineRule="auto"/>
        <w:ind w:left="851" w:right="902"/>
        <w:jc w:val="both"/>
        <w:rPr>
          <w:rFonts w:ascii="Palatino Linotype" w:hAnsi="Palatino Linotype"/>
          <w:i/>
        </w:rPr>
      </w:pPr>
      <w:r w:rsidRPr="0056471D">
        <w:rPr>
          <w:rFonts w:ascii="Palatino Linotype" w:hAnsi="Palatino Linotype"/>
          <w:b/>
          <w:i/>
        </w:rPr>
        <w:t>Artículo 34.</w:t>
      </w:r>
      <w:r w:rsidRPr="00732B50">
        <w:rPr>
          <w:rFonts w:ascii="Palatino Linotype" w:hAnsi="Palatino Linotype"/>
          <w:i/>
        </w:rPr>
        <w:t xml:space="preserve"> El </w:t>
      </w:r>
      <w:r w:rsidRPr="0056471D">
        <w:rPr>
          <w:rFonts w:ascii="Palatino Linotype" w:hAnsi="Palatino Linotype"/>
          <w:i/>
          <w:u w:val="single"/>
        </w:rPr>
        <w:t>Ministerio Público</w:t>
      </w:r>
      <w:r w:rsidRPr="00732B50">
        <w:rPr>
          <w:rFonts w:ascii="Palatino Linotype" w:hAnsi="Palatino Linotype"/>
          <w:i/>
        </w:rPr>
        <w:t xml:space="preserve"> tendrá, además de las funciones, atribuciones y obligaciones que le señalen la Constitución Federal, la Constitución del Estado, los instrumentos jurídicos internacionales vinculantes para el Estado Mexicano, el Código Nacional, las leyes nacionales y generales, la presente Ley y otros ordenamientos jurídicos estatales aplicables, las siguientes: </w:t>
      </w: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A. En la </w:t>
      </w:r>
      <w:r w:rsidRPr="0056471D">
        <w:rPr>
          <w:rFonts w:ascii="Palatino Linotype" w:hAnsi="Palatino Linotype"/>
          <w:i/>
          <w:u w:val="single"/>
        </w:rPr>
        <w:t>investigación</w:t>
      </w:r>
      <w:r w:rsidRPr="00732B50">
        <w:rPr>
          <w:rFonts w:ascii="Palatino Linotype" w:hAnsi="Palatino Linotype"/>
          <w:i/>
        </w:rPr>
        <w:t xml:space="preserve"> del delito: </w:t>
      </w: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w:t>
      </w: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III. </w:t>
      </w:r>
      <w:r w:rsidRPr="0056471D">
        <w:rPr>
          <w:rFonts w:ascii="Palatino Linotype" w:hAnsi="Palatino Linotype"/>
          <w:i/>
          <w:u w:val="single"/>
        </w:rPr>
        <w:t>Registrar sus actuaciones en el sistema informático de la Fiscalía</w:t>
      </w:r>
      <w:r w:rsidRPr="00732B50">
        <w:rPr>
          <w:rFonts w:ascii="Palatino Linotype" w:hAnsi="Palatino Linotype"/>
          <w:i/>
        </w:rPr>
        <w:t xml:space="preserve">, </w:t>
      </w:r>
      <w:r w:rsidRPr="0056471D">
        <w:rPr>
          <w:rFonts w:ascii="Palatino Linotype" w:hAnsi="Palatino Linotype"/>
          <w:i/>
          <w:u w:val="single"/>
        </w:rPr>
        <w:t>bajo el número interno de control o el número único de causa que genere el Ministerio Público</w:t>
      </w:r>
      <w:r w:rsidRPr="00732B50">
        <w:rPr>
          <w:rFonts w:ascii="Palatino Linotype" w:hAnsi="Palatino Linotype"/>
          <w:i/>
        </w:rPr>
        <w:t xml:space="preserve"> y alimentarlo con la información requerida, de conformidad con las disposiciones jurídicas aplicables y la normatividad que emita la o el Fiscal General. </w:t>
      </w: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w:t>
      </w:r>
    </w:p>
    <w:p w:rsidR="00732B50" w:rsidRPr="00732B50" w:rsidRDefault="00732B50" w:rsidP="0056471D">
      <w:pPr>
        <w:spacing w:after="0" w:line="276" w:lineRule="auto"/>
        <w:ind w:left="851" w:right="902"/>
        <w:jc w:val="both"/>
        <w:rPr>
          <w:rFonts w:ascii="Palatino Linotype" w:hAnsi="Palatino Linotype"/>
          <w:i/>
        </w:rPr>
      </w:pPr>
      <w:r w:rsidRPr="0056471D">
        <w:rPr>
          <w:rFonts w:ascii="Palatino Linotype" w:hAnsi="Palatino Linotype"/>
          <w:b/>
          <w:i/>
        </w:rPr>
        <w:t>Artículo 36.</w:t>
      </w:r>
      <w:r w:rsidRPr="00732B50">
        <w:rPr>
          <w:rFonts w:ascii="Palatino Linotype" w:hAnsi="Palatino Linotype"/>
          <w:i/>
        </w:rPr>
        <w:t xml:space="preserve"> La </w:t>
      </w:r>
      <w:r w:rsidRPr="0056471D">
        <w:rPr>
          <w:rFonts w:ascii="Palatino Linotype" w:hAnsi="Palatino Linotype"/>
          <w:i/>
          <w:u w:val="single"/>
        </w:rPr>
        <w:t>Policía de Investigación</w:t>
      </w:r>
      <w:r w:rsidRPr="00732B50">
        <w:rPr>
          <w:rFonts w:ascii="Palatino Linotype" w:hAnsi="Palatino Linotype"/>
          <w:i/>
        </w:rPr>
        <w:t xml:space="preserve"> actuará bajo la conducción y mando del Ministerio Público en la investigación de los delitos, con estricto apego a los principios reconocidos en la Constitución Federal, los Tratados Internacionales, las leyes aplicables y además tendrá las obligaciones siguientes:</w:t>
      </w: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w:t>
      </w:r>
    </w:p>
    <w:p w:rsidR="00732B50" w:rsidRPr="00732B50" w:rsidRDefault="00732B50" w:rsidP="0056471D">
      <w:pPr>
        <w:spacing w:after="0" w:line="276" w:lineRule="auto"/>
        <w:ind w:left="851" w:right="902"/>
        <w:jc w:val="both"/>
        <w:rPr>
          <w:rFonts w:ascii="Palatino Linotype" w:hAnsi="Palatino Linotype"/>
          <w:i/>
        </w:rPr>
      </w:pP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IV. </w:t>
      </w:r>
      <w:r w:rsidRPr="0056471D">
        <w:rPr>
          <w:rFonts w:ascii="Palatino Linotype" w:hAnsi="Palatino Linotype"/>
          <w:i/>
          <w:u w:val="single"/>
        </w:rPr>
        <w:t>Registrar sus actuaciones en el sistema informático de la Fiscalía, bajo el número interno de control o el número único de causa que genere el Ministerio Público</w:t>
      </w:r>
      <w:r w:rsidRPr="00732B50">
        <w:rPr>
          <w:rFonts w:ascii="Palatino Linotype" w:hAnsi="Palatino Linotype"/>
          <w:i/>
        </w:rPr>
        <w:t xml:space="preserve"> y alimentarlo con la información requerida, de conformidad con las disposiciones jurídicas aplicables y la normatividad que emita el Fiscal General. </w:t>
      </w: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w:t>
      </w: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XIX. </w:t>
      </w:r>
      <w:r w:rsidRPr="0056471D">
        <w:rPr>
          <w:rFonts w:ascii="Palatino Linotype" w:hAnsi="Palatino Linotype"/>
          <w:i/>
          <w:u w:val="single"/>
        </w:rPr>
        <w:t>Compartir la información con unidades específicas del Ministerio Público</w:t>
      </w:r>
      <w:r w:rsidRPr="00732B50">
        <w:rPr>
          <w:rFonts w:ascii="Palatino Linotype" w:hAnsi="Palatino Linotype"/>
          <w:i/>
        </w:rPr>
        <w:t xml:space="preserve"> y de información u análisis, así como enviar la información que corresponda a las bases de datos del Sistema Nacional y Estatal de Seguridad Pública, conforme a las normas aplicables. </w:t>
      </w: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w:t>
      </w:r>
    </w:p>
    <w:p w:rsidR="00732B50" w:rsidRPr="00732B50" w:rsidRDefault="00732B50" w:rsidP="0056471D">
      <w:pPr>
        <w:spacing w:after="0" w:line="276" w:lineRule="auto"/>
        <w:ind w:left="851" w:right="902"/>
        <w:jc w:val="both"/>
        <w:rPr>
          <w:rFonts w:ascii="Palatino Linotype" w:hAnsi="Palatino Linotype"/>
          <w:i/>
        </w:rPr>
      </w:pPr>
      <w:r w:rsidRPr="0056471D">
        <w:rPr>
          <w:rFonts w:ascii="Palatino Linotype" w:hAnsi="Palatino Linotype"/>
          <w:b/>
          <w:i/>
        </w:rPr>
        <w:lastRenderedPageBreak/>
        <w:t>Artículo 37.</w:t>
      </w:r>
      <w:r w:rsidRPr="00732B50">
        <w:rPr>
          <w:rFonts w:ascii="Palatino Linotype" w:hAnsi="Palatino Linotype"/>
          <w:i/>
        </w:rPr>
        <w:t xml:space="preserve"> Los </w:t>
      </w:r>
      <w:r w:rsidRPr="0056471D">
        <w:rPr>
          <w:rFonts w:ascii="Palatino Linotype" w:hAnsi="Palatino Linotype"/>
          <w:i/>
          <w:u w:val="single"/>
        </w:rPr>
        <w:t>Servicios Periciales</w:t>
      </w:r>
      <w:r w:rsidRPr="00732B50">
        <w:rPr>
          <w:rFonts w:ascii="Palatino Linotype" w:hAnsi="Palatino Linotype"/>
          <w:i/>
        </w:rPr>
        <w:t>, además de las facultades previstas en otros ordenamientos jurídicos aplicables en la materia, contarán con las atribuciones siguientes:</w:t>
      </w:r>
    </w:p>
    <w:p w:rsidR="00732B50" w:rsidRP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w:t>
      </w:r>
    </w:p>
    <w:p w:rsidR="00732B50" w:rsidRDefault="00732B50" w:rsidP="0056471D">
      <w:pPr>
        <w:spacing w:after="0" w:line="276" w:lineRule="auto"/>
        <w:ind w:left="851" w:right="902"/>
        <w:jc w:val="both"/>
        <w:rPr>
          <w:rFonts w:ascii="Palatino Linotype" w:hAnsi="Palatino Linotype"/>
          <w:i/>
        </w:rPr>
      </w:pPr>
      <w:r w:rsidRPr="00732B50">
        <w:rPr>
          <w:rFonts w:ascii="Palatino Linotype" w:hAnsi="Palatino Linotype"/>
          <w:i/>
        </w:rPr>
        <w:t xml:space="preserve">III. </w:t>
      </w:r>
      <w:r w:rsidRPr="0056471D">
        <w:rPr>
          <w:rFonts w:ascii="Palatino Linotype" w:hAnsi="Palatino Linotype"/>
          <w:i/>
          <w:u w:val="single"/>
        </w:rPr>
        <w:t>Registrar sus actuaciones en el sistema informático de la Fiscalía</w:t>
      </w:r>
      <w:r w:rsidRPr="00732B50">
        <w:rPr>
          <w:rFonts w:ascii="Palatino Linotype" w:hAnsi="Palatino Linotype"/>
          <w:i/>
        </w:rPr>
        <w:t>, bajo el número interno de control o el número único de causa que genere el Ministerio Público y alimentarlo con la información requerida, de conformidad con las disposiciones jurídicas aplicables y la normativid</w:t>
      </w:r>
      <w:r w:rsidR="0056471D">
        <w:rPr>
          <w:rFonts w:ascii="Palatino Linotype" w:hAnsi="Palatino Linotype"/>
          <w:i/>
        </w:rPr>
        <w:t>ad que emita el Fiscal General.</w:t>
      </w:r>
    </w:p>
    <w:p w:rsidR="0056471D" w:rsidRDefault="0056471D" w:rsidP="0056471D">
      <w:pPr>
        <w:spacing w:after="0" w:line="276" w:lineRule="auto"/>
        <w:ind w:left="851" w:right="902"/>
        <w:jc w:val="both"/>
        <w:rPr>
          <w:rFonts w:ascii="Palatino Linotype" w:hAnsi="Palatino Linotype"/>
          <w:i/>
        </w:rPr>
      </w:pPr>
      <w:r>
        <w:rPr>
          <w:rFonts w:ascii="Palatino Linotype" w:hAnsi="Palatino Linotype"/>
          <w:i/>
        </w:rPr>
        <w:t>…”</w:t>
      </w:r>
    </w:p>
    <w:p w:rsidR="0056471D" w:rsidRPr="00732B50" w:rsidRDefault="0056471D" w:rsidP="0056471D">
      <w:pPr>
        <w:spacing w:after="0" w:line="276" w:lineRule="auto"/>
        <w:ind w:left="851" w:right="902"/>
        <w:jc w:val="both"/>
        <w:rPr>
          <w:rFonts w:ascii="Palatino Linotype" w:hAnsi="Palatino Linotype"/>
          <w:i/>
        </w:rPr>
      </w:pPr>
      <w:r>
        <w:rPr>
          <w:rFonts w:ascii="Palatino Linotype" w:hAnsi="Palatino Linotype"/>
          <w:i/>
        </w:rPr>
        <w:t>(Énfasis añadido)</w:t>
      </w:r>
    </w:p>
    <w:p w:rsidR="00732B50" w:rsidRDefault="00732B50" w:rsidP="0056471D">
      <w:pPr>
        <w:pStyle w:val="Prrafodelista"/>
        <w:spacing w:after="0" w:line="276" w:lineRule="auto"/>
        <w:ind w:left="426" w:right="142"/>
        <w:jc w:val="both"/>
        <w:rPr>
          <w:rFonts w:ascii="Palatino Linotype" w:hAnsi="Palatino Linotype" w:cs="Arial"/>
          <w:sz w:val="24"/>
          <w:szCs w:val="24"/>
        </w:rPr>
      </w:pPr>
    </w:p>
    <w:p w:rsidR="00293529" w:rsidRDefault="0056471D" w:rsidP="00293529">
      <w:pPr>
        <w:pStyle w:val="Prrafodelista"/>
        <w:numPr>
          <w:ilvl w:val="0"/>
          <w:numId w:val="2"/>
        </w:numPr>
        <w:spacing w:after="0" w:line="360" w:lineRule="auto"/>
        <w:ind w:left="426" w:right="142"/>
        <w:jc w:val="both"/>
        <w:rPr>
          <w:rFonts w:ascii="Palatino Linotype" w:hAnsi="Palatino Linotype" w:cs="Arial"/>
          <w:sz w:val="24"/>
          <w:szCs w:val="24"/>
        </w:rPr>
      </w:pPr>
      <w:r>
        <w:rPr>
          <w:rFonts w:ascii="Palatino Linotype" w:hAnsi="Palatino Linotype" w:cs="Arial"/>
          <w:sz w:val="24"/>
          <w:szCs w:val="24"/>
        </w:rPr>
        <w:t>Es así, como la Fiscalía cuenta con atribuciones para r</w:t>
      </w:r>
      <w:r w:rsidRPr="0056471D">
        <w:rPr>
          <w:rFonts w:ascii="Palatino Linotype" w:hAnsi="Palatino Linotype" w:cs="Arial"/>
          <w:sz w:val="24"/>
          <w:szCs w:val="24"/>
        </w:rPr>
        <w:t>egistrar sus actuaciones en el sistema informático de la Fiscalía</w:t>
      </w:r>
      <w:r>
        <w:rPr>
          <w:rFonts w:ascii="Palatino Linotype" w:hAnsi="Palatino Linotype" w:cs="Arial"/>
          <w:sz w:val="24"/>
          <w:szCs w:val="24"/>
        </w:rPr>
        <w:t xml:space="preserve">, </w:t>
      </w:r>
      <w:r w:rsidR="00293529">
        <w:rPr>
          <w:rFonts w:ascii="Palatino Linotype" w:hAnsi="Palatino Linotype" w:cs="Arial"/>
          <w:sz w:val="24"/>
          <w:szCs w:val="24"/>
        </w:rPr>
        <w:t>derivado</w:t>
      </w:r>
      <w:r>
        <w:rPr>
          <w:rFonts w:ascii="Palatino Linotype" w:hAnsi="Palatino Linotype" w:cs="Arial"/>
          <w:sz w:val="24"/>
          <w:szCs w:val="24"/>
        </w:rPr>
        <w:t xml:space="preserve"> de lo anterior, </w:t>
      </w:r>
      <w:r w:rsidR="00293529">
        <w:rPr>
          <w:rFonts w:ascii="Palatino Linotype" w:hAnsi="Palatino Linotype" w:cs="Arial"/>
          <w:sz w:val="24"/>
          <w:szCs w:val="24"/>
        </w:rPr>
        <w:t xml:space="preserve">se crea  el </w:t>
      </w:r>
      <w:r w:rsidR="00293529" w:rsidRPr="00293529">
        <w:rPr>
          <w:rFonts w:ascii="Palatino Linotype" w:hAnsi="Palatino Linotype" w:cs="Arial"/>
          <w:sz w:val="24"/>
          <w:szCs w:val="24"/>
        </w:rPr>
        <w:t xml:space="preserve">SISTEMA INFORMÁTICO DE GESTIÓN INSTITUCIONAL DEL PROCEDIMIENTO PENAL EN EL ESTADO DE MÉXICO “SIGIPPEM”, DE LA PROCURADURÍA GENERAL DE JUSTICIA DEL ESTADO DE MÉXICO de conformidad con el </w:t>
      </w:r>
      <w:r w:rsidR="00293529">
        <w:rPr>
          <w:rFonts w:ascii="Palatino Linotype" w:hAnsi="Palatino Linotype" w:cs="Arial"/>
          <w:sz w:val="24"/>
          <w:szCs w:val="24"/>
        </w:rPr>
        <w:t>ACUERDO NÚMERO 16/201</w:t>
      </w:r>
      <w:r w:rsidR="00965647">
        <w:rPr>
          <w:rFonts w:ascii="Palatino Linotype" w:hAnsi="Palatino Linotype" w:cs="Arial"/>
          <w:sz w:val="24"/>
          <w:szCs w:val="24"/>
        </w:rPr>
        <w:t>6</w:t>
      </w:r>
      <w:r w:rsidR="00965647">
        <w:rPr>
          <w:rStyle w:val="Refdenotaalpie"/>
          <w:rFonts w:ascii="Palatino Linotype" w:hAnsi="Palatino Linotype" w:cs="Arial"/>
          <w:sz w:val="24"/>
          <w:szCs w:val="24"/>
        </w:rPr>
        <w:footnoteReference w:id="2"/>
      </w:r>
      <w:r w:rsidR="00293529">
        <w:rPr>
          <w:rFonts w:ascii="Palatino Linotype" w:hAnsi="Palatino Linotype" w:cs="Arial"/>
          <w:sz w:val="24"/>
          <w:szCs w:val="24"/>
        </w:rPr>
        <w:t xml:space="preserve"> mismo que el </w:t>
      </w:r>
      <w:r w:rsidR="00293529" w:rsidRPr="00293529">
        <w:rPr>
          <w:rFonts w:ascii="Palatino Linotype" w:hAnsi="Palatino Linotype" w:cs="Arial"/>
          <w:sz w:val="24"/>
          <w:szCs w:val="24"/>
        </w:rPr>
        <w:t xml:space="preserve">Procurador General de Justicia del Estado de México </w:t>
      </w:r>
      <w:r w:rsidR="00293529">
        <w:rPr>
          <w:rFonts w:ascii="Palatino Linotype" w:hAnsi="Palatino Linotype" w:cs="Arial"/>
          <w:sz w:val="24"/>
          <w:szCs w:val="24"/>
        </w:rPr>
        <w:t xml:space="preserve">instruye su uso obligatorio, en el cual, dentro de su </w:t>
      </w:r>
      <w:r w:rsidR="00965647">
        <w:rPr>
          <w:rFonts w:ascii="Palatino Linotype" w:hAnsi="Palatino Linotype" w:cs="Arial"/>
          <w:sz w:val="24"/>
          <w:szCs w:val="24"/>
        </w:rPr>
        <w:t>artículo</w:t>
      </w:r>
      <w:r w:rsidR="00293529">
        <w:rPr>
          <w:rFonts w:ascii="Palatino Linotype" w:hAnsi="Palatino Linotype" w:cs="Arial"/>
          <w:sz w:val="24"/>
          <w:szCs w:val="24"/>
        </w:rPr>
        <w:t xml:space="preserve"> </w:t>
      </w:r>
      <w:r w:rsidR="00965647">
        <w:rPr>
          <w:rFonts w:ascii="Palatino Linotype" w:hAnsi="Palatino Linotype" w:cs="Arial"/>
          <w:sz w:val="24"/>
          <w:szCs w:val="24"/>
        </w:rPr>
        <w:t>segundo</w:t>
      </w:r>
      <w:r w:rsidR="00293529">
        <w:rPr>
          <w:rFonts w:ascii="Palatino Linotype" w:hAnsi="Palatino Linotype" w:cs="Arial"/>
          <w:sz w:val="24"/>
          <w:szCs w:val="24"/>
        </w:rPr>
        <w:t xml:space="preserve"> establece quienes operaran dicho sistema y establece </w:t>
      </w:r>
      <w:r w:rsidR="00965647">
        <w:rPr>
          <w:rFonts w:ascii="Palatino Linotype" w:hAnsi="Palatino Linotype" w:cs="Arial"/>
          <w:sz w:val="24"/>
          <w:szCs w:val="24"/>
        </w:rPr>
        <w:t>como se deberá de ge</w:t>
      </w:r>
      <w:r w:rsidR="00965647" w:rsidRPr="00965647">
        <w:rPr>
          <w:rFonts w:ascii="Palatino Linotype" w:hAnsi="Palatino Linotype" w:cs="Arial"/>
          <w:sz w:val="24"/>
          <w:szCs w:val="24"/>
        </w:rPr>
        <w:t xml:space="preserve">nerar el </w:t>
      </w:r>
      <w:r w:rsidR="00965647" w:rsidRPr="00965647">
        <w:rPr>
          <w:rFonts w:ascii="Palatino Linotype" w:hAnsi="Palatino Linotype" w:cs="Arial"/>
          <w:sz w:val="24"/>
          <w:szCs w:val="24"/>
          <w:u w:val="single"/>
        </w:rPr>
        <w:t>número interno de control (NIC</w:t>
      </w:r>
      <w:r w:rsidR="00965647" w:rsidRPr="00965647">
        <w:rPr>
          <w:rFonts w:ascii="Palatino Linotype" w:hAnsi="Palatino Linotype" w:cs="Arial"/>
          <w:sz w:val="24"/>
          <w:szCs w:val="24"/>
        </w:rPr>
        <w:t xml:space="preserve">) y en caso de que sea necesario realizar una carpeta de investigación se generará el </w:t>
      </w:r>
      <w:r w:rsidR="00965647" w:rsidRPr="00965647">
        <w:rPr>
          <w:rFonts w:ascii="Palatino Linotype" w:hAnsi="Palatino Linotype" w:cs="Arial"/>
          <w:sz w:val="24"/>
          <w:szCs w:val="24"/>
          <w:u w:val="single"/>
        </w:rPr>
        <w:t>número único de causa (NUC)</w:t>
      </w:r>
      <w:r w:rsidR="00965647" w:rsidRPr="00965647">
        <w:rPr>
          <w:rFonts w:ascii="Palatino Linotype" w:hAnsi="Palatino Linotype" w:cs="Arial"/>
          <w:sz w:val="24"/>
          <w:szCs w:val="24"/>
        </w:rPr>
        <w:t>, como a continuación</w:t>
      </w:r>
      <w:r w:rsidR="00965647">
        <w:rPr>
          <w:rFonts w:ascii="Palatino Linotype" w:hAnsi="Palatino Linotype" w:cs="Arial"/>
          <w:sz w:val="24"/>
          <w:szCs w:val="24"/>
        </w:rPr>
        <w:t xml:space="preserve"> se indica: </w:t>
      </w:r>
    </w:p>
    <w:p w:rsidR="00293529" w:rsidRPr="00965647" w:rsidRDefault="00293529" w:rsidP="00965647">
      <w:pPr>
        <w:spacing w:after="0" w:line="276" w:lineRule="auto"/>
        <w:ind w:left="851" w:right="902"/>
        <w:jc w:val="both"/>
        <w:rPr>
          <w:rFonts w:ascii="Palatino Linotype" w:hAnsi="Palatino Linotype"/>
          <w:i/>
        </w:rPr>
      </w:pPr>
      <w:r w:rsidRPr="00965647">
        <w:rPr>
          <w:rFonts w:ascii="Palatino Linotype" w:hAnsi="Palatino Linotype"/>
          <w:i/>
        </w:rPr>
        <w:t xml:space="preserve">Instrucciones al personal operativo </w:t>
      </w:r>
    </w:p>
    <w:p w:rsidR="00293529" w:rsidRPr="00965647" w:rsidRDefault="00293529" w:rsidP="00965647">
      <w:pPr>
        <w:spacing w:after="0" w:line="276" w:lineRule="auto"/>
        <w:ind w:left="851" w:right="902"/>
        <w:jc w:val="both"/>
        <w:rPr>
          <w:rFonts w:ascii="Palatino Linotype" w:hAnsi="Palatino Linotype"/>
          <w:i/>
        </w:rPr>
      </w:pPr>
      <w:r w:rsidRPr="00965647">
        <w:rPr>
          <w:rFonts w:ascii="Palatino Linotype" w:hAnsi="Palatino Linotype"/>
          <w:b/>
          <w:i/>
        </w:rPr>
        <w:t>ARTÍCULO SEGUNDO.-</w:t>
      </w:r>
      <w:r w:rsidRPr="00965647">
        <w:rPr>
          <w:rFonts w:ascii="Palatino Linotype" w:hAnsi="Palatino Linotype"/>
          <w:i/>
        </w:rPr>
        <w:t xml:space="preserve"> Los orientadores jurídicos, agentes del Ministerio Público, Policías de Investigación, Peritos y facilitadores de justicia restaurativa </w:t>
      </w:r>
      <w:r w:rsidRPr="00965647">
        <w:rPr>
          <w:rFonts w:ascii="Palatino Linotype" w:hAnsi="Palatino Linotype"/>
          <w:i/>
        </w:rPr>
        <w:lastRenderedPageBreak/>
        <w:t>de la Procuraduría General de Justicia del Estado de México, deberán utilizar y operar el SIGIPPEM en sus actividades con motivo del procedimiento penal acorde al Código Nacional de Procedimientos Penales. Los servidores públicos antes citados, en la aplicación del SIGIPPEM deberán cumplir con lo siguiente:</w:t>
      </w:r>
    </w:p>
    <w:p w:rsidR="00293529" w:rsidRPr="00965647" w:rsidRDefault="00293529" w:rsidP="00965647">
      <w:pPr>
        <w:spacing w:after="0" w:line="276" w:lineRule="auto"/>
        <w:ind w:left="851" w:right="902"/>
        <w:jc w:val="both"/>
        <w:rPr>
          <w:rFonts w:ascii="Palatino Linotype" w:hAnsi="Palatino Linotype"/>
          <w:i/>
        </w:rPr>
      </w:pPr>
      <w:r w:rsidRPr="00965647">
        <w:rPr>
          <w:rFonts w:ascii="Palatino Linotype" w:hAnsi="Palatino Linotype"/>
          <w:i/>
        </w:rPr>
        <w:t>…</w:t>
      </w:r>
    </w:p>
    <w:p w:rsidR="00293529" w:rsidRPr="00965647" w:rsidRDefault="00293529" w:rsidP="00965647">
      <w:pPr>
        <w:spacing w:after="0" w:line="276" w:lineRule="auto"/>
        <w:ind w:left="851" w:right="902"/>
        <w:jc w:val="both"/>
        <w:rPr>
          <w:rFonts w:ascii="Palatino Linotype" w:hAnsi="Palatino Linotype"/>
          <w:i/>
        </w:rPr>
      </w:pPr>
      <w:r w:rsidRPr="00965647">
        <w:rPr>
          <w:rFonts w:ascii="Palatino Linotype" w:hAnsi="Palatino Linotype"/>
          <w:i/>
        </w:rPr>
        <w:t xml:space="preserve">IV. Para iniciar un caso en el SIGIPPEM, </w:t>
      </w:r>
      <w:r w:rsidRPr="00965647">
        <w:rPr>
          <w:rFonts w:ascii="Palatino Linotype" w:hAnsi="Palatino Linotype"/>
          <w:i/>
          <w:u w:val="single"/>
        </w:rPr>
        <w:t>los orientadores jurídicos o los agentes del Ministerio Público deberán generar su número interno de control (NIC) que es una clave alfanumérica de 30 dígitos en la que pueden registrar lo actuado como noticia criminal; en caso de que sea necesario realizar una carpeta de investigación se generará el número único de causa (NUC), de 28 dígitos, que será la identificación alfanumérica del caso</w:t>
      </w:r>
      <w:r w:rsidRPr="00965647">
        <w:rPr>
          <w:rFonts w:ascii="Palatino Linotype" w:hAnsi="Palatino Linotype"/>
          <w:i/>
        </w:rPr>
        <w:t xml:space="preserve"> a lo largo de todo el procedimiento penal y por ello será de uso de todos los operadores de conformidad con los convenios que al efecto se suscriban. Dichos números deberán insertarse en todas las actuaciones institucionales. La composición del NIC y del NUC se establece en el anexo uno del presente Acuerdo. </w:t>
      </w:r>
    </w:p>
    <w:p w:rsidR="0056471D" w:rsidRDefault="0056471D" w:rsidP="0056471D">
      <w:pPr>
        <w:pStyle w:val="Prrafodelista"/>
        <w:spacing w:after="0" w:line="360" w:lineRule="auto"/>
        <w:ind w:left="426" w:right="142"/>
        <w:jc w:val="both"/>
        <w:rPr>
          <w:rFonts w:ascii="Palatino Linotype" w:hAnsi="Palatino Linotype" w:cs="Arial"/>
          <w:sz w:val="24"/>
          <w:szCs w:val="24"/>
        </w:rPr>
      </w:pPr>
    </w:p>
    <w:p w:rsidR="001A1E07" w:rsidRDefault="001A1E07" w:rsidP="007D282F">
      <w:pPr>
        <w:pStyle w:val="Prrafodelista"/>
        <w:numPr>
          <w:ilvl w:val="0"/>
          <w:numId w:val="2"/>
        </w:numPr>
        <w:spacing w:after="0" w:line="360" w:lineRule="auto"/>
        <w:ind w:left="426" w:right="142"/>
        <w:jc w:val="both"/>
        <w:rPr>
          <w:rFonts w:ascii="Palatino Linotype" w:hAnsi="Palatino Linotype" w:cs="Arial"/>
          <w:sz w:val="24"/>
          <w:szCs w:val="24"/>
        </w:rPr>
      </w:pPr>
      <w:r>
        <w:rPr>
          <w:rFonts w:ascii="Palatino Linotype" w:hAnsi="Palatino Linotype" w:cs="Arial"/>
          <w:sz w:val="24"/>
          <w:szCs w:val="24"/>
        </w:rPr>
        <w:t xml:space="preserve">En ese orden de ideas, </w:t>
      </w:r>
      <w:r w:rsidRPr="001A1E07">
        <w:rPr>
          <w:rFonts w:ascii="Palatino Linotype" w:hAnsi="Palatino Linotype" w:cs="Arial"/>
          <w:sz w:val="24"/>
          <w:szCs w:val="24"/>
        </w:rPr>
        <w:t>el segundo transitorio del citado Acuerdo, establece que las noticias criminales y carpetas de investigación iniciadas antes de las cero horas del día 18 de junio de 2016 se deberán seguir bajo el procedimiento previsto por el Código de Procedimientos Penales para el Estado de México, y por tanto sus actuaciones deberán capturarse en el Sistema Automatizado de Denuncias (SAD) y las noticias criminales y carpetas de investigación iniciadas a partir de las cero horas del 18 de junio se registrarán en el SIGIPPEM</w:t>
      </w:r>
      <w:r w:rsidR="00FB2F71">
        <w:rPr>
          <w:rFonts w:ascii="Palatino Linotype" w:hAnsi="Palatino Linotype" w:cs="Arial"/>
          <w:sz w:val="24"/>
          <w:szCs w:val="24"/>
        </w:rPr>
        <w:t xml:space="preserve">, además, especifica como deberán de estar conformados: </w:t>
      </w:r>
    </w:p>
    <w:p w:rsidR="00FB2F71" w:rsidRDefault="00FB2F71" w:rsidP="00FB2F71">
      <w:pPr>
        <w:pStyle w:val="Prrafodelista"/>
        <w:spacing w:after="0" w:line="360" w:lineRule="auto"/>
        <w:ind w:left="426" w:right="142"/>
        <w:jc w:val="both"/>
        <w:rPr>
          <w:rFonts w:ascii="Palatino Linotype" w:hAnsi="Palatino Linotype" w:cs="Arial"/>
          <w:sz w:val="24"/>
          <w:szCs w:val="24"/>
        </w:rPr>
      </w:pPr>
      <w:r>
        <w:rPr>
          <w:noProof/>
          <w:lang w:eastAsia="es-MX"/>
        </w:rPr>
        <w:lastRenderedPageBreak/>
        <w:drawing>
          <wp:inline distT="0" distB="0" distL="0" distR="0" wp14:anchorId="563E257B" wp14:editId="1CB436F1">
            <wp:extent cx="5244998" cy="3217135"/>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70" t="28660" r="28039" b="22172"/>
                    <a:stretch/>
                  </pic:blipFill>
                  <pic:spPr bwMode="auto">
                    <a:xfrm>
                      <a:off x="0" y="0"/>
                      <a:ext cx="5261150" cy="3227042"/>
                    </a:xfrm>
                    <a:prstGeom prst="rect">
                      <a:avLst/>
                    </a:prstGeom>
                    <a:ln>
                      <a:noFill/>
                    </a:ln>
                    <a:extLst>
                      <a:ext uri="{53640926-AAD7-44D8-BBD7-CCE9431645EC}">
                        <a14:shadowObscured xmlns:a14="http://schemas.microsoft.com/office/drawing/2010/main"/>
                      </a:ext>
                    </a:extLst>
                  </pic:spPr>
                </pic:pic>
              </a:graphicData>
            </a:graphic>
          </wp:inline>
        </w:drawing>
      </w:r>
    </w:p>
    <w:p w:rsidR="001A1E07" w:rsidRDefault="001A1E07" w:rsidP="001A1E07">
      <w:pPr>
        <w:pStyle w:val="Prrafodelista"/>
        <w:spacing w:after="0" w:line="360" w:lineRule="auto"/>
        <w:ind w:left="426" w:right="142"/>
        <w:jc w:val="both"/>
        <w:rPr>
          <w:rFonts w:ascii="Palatino Linotype" w:hAnsi="Palatino Linotype" w:cs="Arial"/>
          <w:sz w:val="24"/>
          <w:szCs w:val="24"/>
        </w:rPr>
      </w:pPr>
    </w:p>
    <w:p w:rsidR="00E36C96" w:rsidRPr="00E36C96" w:rsidRDefault="001A1E07" w:rsidP="00E04DF3">
      <w:pPr>
        <w:pStyle w:val="Prrafodelista"/>
        <w:numPr>
          <w:ilvl w:val="0"/>
          <w:numId w:val="2"/>
        </w:numPr>
        <w:spacing w:after="0" w:line="360" w:lineRule="auto"/>
        <w:ind w:left="426" w:right="142"/>
        <w:jc w:val="both"/>
        <w:rPr>
          <w:rFonts w:ascii="Palatino Linotype" w:hAnsi="Palatino Linotype" w:cs="Arial"/>
          <w:sz w:val="24"/>
          <w:szCs w:val="24"/>
        </w:rPr>
      </w:pPr>
      <w:r w:rsidRPr="00E36C96">
        <w:rPr>
          <w:rFonts w:ascii="Palatino Linotype" w:hAnsi="Palatino Linotype" w:cs="Arial"/>
          <w:sz w:val="24"/>
          <w:szCs w:val="24"/>
        </w:rPr>
        <w:t xml:space="preserve">Por otro lado, el treinta de abril de </w:t>
      </w:r>
      <w:r w:rsidR="00692029" w:rsidRPr="00E36C96">
        <w:rPr>
          <w:rFonts w:ascii="Palatino Linotype" w:hAnsi="Palatino Linotype" w:cs="Arial"/>
          <w:sz w:val="24"/>
          <w:szCs w:val="24"/>
        </w:rPr>
        <w:t xml:space="preserve">2010 se publica el </w:t>
      </w:r>
      <w:r w:rsidRPr="00E36C96">
        <w:rPr>
          <w:rFonts w:ascii="Palatino Linotype" w:hAnsi="Palatino Linotype" w:cs="Arial"/>
          <w:sz w:val="24"/>
          <w:szCs w:val="24"/>
        </w:rPr>
        <w:t>ACUERDO NÚMERO 10/2018, DEL FISCAL GENERAL DE JUSTICIA DEL ESTADO DE MÉXICO, POR EL QUE SE CREA Y SE INSTRUYE EL USO OBLIGATORIO DEL SISTEMA INFORMÁTICO DE GESTIÓN Y DEL CORREO ELECTRÓNICO INSTITUCIONAL, DE LA FISCALÍA GENERAL D</w:t>
      </w:r>
      <w:r w:rsidR="00692029" w:rsidRPr="00E36C96">
        <w:rPr>
          <w:rFonts w:ascii="Palatino Linotype" w:hAnsi="Palatino Linotype" w:cs="Arial"/>
          <w:sz w:val="24"/>
          <w:szCs w:val="24"/>
        </w:rPr>
        <w:t>E JUSTICIA DEL ESTADO DE MÉXICO</w:t>
      </w:r>
      <w:r w:rsidR="00692029">
        <w:rPr>
          <w:rStyle w:val="Refdenotaalpie"/>
          <w:rFonts w:ascii="Palatino Linotype" w:hAnsi="Palatino Linotype" w:cs="Arial"/>
          <w:sz w:val="24"/>
          <w:szCs w:val="24"/>
        </w:rPr>
        <w:footnoteReference w:id="3"/>
      </w:r>
      <w:r w:rsidR="00692029" w:rsidRPr="00E36C96">
        <w:rPr>
          <w:rFonts w:ascii="Palatino Linotype" w:hAnsi="Palatino Linotype" w:cs="Arial"/>
          <w:sz w:val="24"/>
          <w:szCs w:val="24"/>
        </w:rPr>
        <w:t xml:space="preserve">, en el cual </w:t>
      </w:r>
      <w:r w:rsidR="00E36C96" w:rsidRPr="00E36C96">
        <w:rPr>
          <w:rFonts w:ascii="Palatino Linotype" w:hAnsi="Palatino Linotype" w:cs="Arial"/>
          <w:sz w:val="24"/>
          <w:szCs w:val="24"/>
        </w:rPr>
        <w:t xml:space="preserve">se crea y se autoriza la implementación del Sistema Informático Institucional (SIGI) y se deroga el </w:t>
      </w:r>
      <w:r w:rsidR="00F245BA">
        <w:rPr>
          <w:rFonts w:ascii="Palatino Linotype" w:hAnsi="Palatino Linotype" w:cs="Arial"/>
          <w:sz w:val="24"/>
          <w:szCs w:val="24"/>
        </w:rPr>
        <w:t xml:space="preserve">sistema </w:t>
      </w:r>
      <w:r w:rsidR="00E36C96" w:rsidRPr="001A1E07">
        <w:rPr>
          <w:rFonts w:ascii="Palatino Linotype" w:hAnsi="Palatino Linotype" w:cs="Arial"/>
          <w:sz w:val="24"/>
          <w:szCs w:val="24"/>
        </w:rPr>
        <w:t>SIGIPPEM</w:t>
      </w:r>
      <w:r w:rsidR="00E36C96">
        <w:rPr>
          <w:rFonts w:ascii="Palatino Linotype" w:hAnsi="Palatino Linotype" w:cs="Arial"/>
          <w:sz w:val="24"/>
          <w:szCs w:val="24"/>
        </w:rPr>
        <w:t xml:space="preserve">, sin embargo, </w:t>
      </w:r>
      <w:r w:rsidR="00E36C96" w:rsidRPr="00B52CBB">
        <w:rPr>
          <w:rFonts w:ascii="Palatino Linotype" w:hAnsi="Palatino Linotype" w:cs="Arial"/>
          <w:sz w:val="24"/>
          <w:szCs w:val="24"/>
          <w:u w:val="single"/>
        </w:rPr>
        <w:t xml:space="preserve">continua </w:t>
      </w:r>
      <w:r w:rsidR="007C4DD9" w:rsidRPr="00B52CBB">
        <w:rPr>
          <w:rFonts w:ascii="Palatino Linotype" w:hAnsi="Palatino Linotype" w:cs="Arial"/>
          <w:sz w:val="24"/>
          <w:szCs w:val="24"/>
          <w:u w:val="single"/>
        </w:rPr>
        <w:t>contemplado el  número interno de control (NIC) y  el número único de causa (NUC)</w:t>
      </w:r>
      <w:r w:rsidR="007C4DD9" w:rsidRPr="007C4DD9">
        <w:rPr>
          <w:rFonts w:ascii="Palatino Linotype" w:hAnsi="Palatino Linotype" w:cs="Arial"/>
          <w:sz w:val="24"/>
          <w:szCs w:val="24"/>
        </w:rPr>
        <w:t xml:space="preserve"> como a continuación se indica:</w:t>
      </w:r>
      <w:r w:rsidR="007C4DD9">
        <w:rPr>
          <w:rFonts w:ascii="Palatino Linotype" w:hAnsi="Palatino Linotype"/>
          <w:i/>
          <w:u w:val="single"/>
        </w:rPr>
        <w:t xml:space="preserve"> </w:t>
      </w:r>
    </w:p>
    <w:p w:rsidR="007C4DD9" w:rsidRPr="007C4DD9" w:rsidRDefault="002E3668" w:rsidP="007C4DD9">
      <w:pPr>
        <w:spacing w:after="0" w:line="276" w:lineRule="auto"/>
        <w:ind w:left="851" w:right="902"/>
        <w:jc w:val="both"/>
        <w:rPr>
          <w:rFonts w:ascii="Palatino Linotype" w:hAnsi="Palatino Linotype"/>
          <w:i/>
        </w:rPr>
      </w:pPr>
      <w:r>
        <w:rPr>
          <w:rFonts w:ascii="Palatino Linotype" w:hAnsi="Palatino Linotype"/>
          <w:i/>
        </w:rPr>
        <w:t>“</w:t>
      </w:r>
      <w:r w:rsidR="007C4DD9" w:rsidRPr="007C4DD9">
        <w:rPr>
          <w:rFonts w:ascii="Palatino Linotype" w:hAnsi="Palatino Linotype"/>
          <w:i/>
        </w:rPr>
        <w:t xml:space="preserve">Instrucciones al personal operativo </w:t>
      </w:r>
    </w:p>
    <w:p w:rsidR="007C4DD9" w:rsidRPr="007C4DD9" w:rsidRDefault="007C4DD9" w:rsidP="007C4DD9">
      <w:pPr>
        <w:spacing w:after="0" w:line="276" w:lineRule="auto"/>
        <w:ind w:left="851" w:right="902"/>
        <w:jc w:val="both"/>
        <w:rPr>
          <w:rFonts w:ascii="Palatino Linotype" w:hAnsi="Palatino Linotype"/>
          <w:i/>
        </w:rPr>
      </w:pPr>
      <w:r w:rsidRPr="007C4DD9">
        <w:rPr>
          <w:rFonts w:ascii="Palatino Linotype" w:hAnsi="Palatino Linotype"/>
          <w:b/>
          <w:i/>
        </w:rPr>
        <w:lastRenderedPageBreak/>
        <w:t>SEGUNDO</w:t>
      </w:r>
      <w:r w:rsidRPr="007C4DD9">
        <w:rPr>
          <w:rFonts w:ascii="Palatino Linotype" w:hAnsi="Palatino Linotype"/>
          <w:i/>
        </w:rPr>
        <w:t>.- Se instruye el uso obligatorio de “EL SIGI” para registrar las investigaciones y procesos penales substanciados conforme al Código Nacional de Procedimientos Penales, la Ley Nacional de Mecanismos Alternativos de Solución de Controversias en Materia Penal, la Ley Nacional del Sistema Integral de Justicia Penal para Adolescentes, así como los juicios de amparo indirecto y directo en los que intervenga o tenga noticia el Ministerio Público.</w:t>
      </w:r>
    </w:p>
    <w:p w:rsidR="007C4DD9" w:rsidRPr="007C4DD9" w:rsidRDefault="007C4DD9" w:rsidP="007C4DD9">
      <w:pPr>
        <w:spacing w:after="0" w:line="276" w:lineRule="auto"/>
        <w:ind w:left="851" w:right="902"/>
        <w:jc w:val="both"/>
        <w:rPr>
          <w:rFonts w:ascii="Palatino Linotype" w:hAnsi="Palatino Linotype"/>
          <w:i/>
        </w:rPr>
      </w:pPr>
      <w:r w:rsidRPr="007C4DD9">
        <w:rPr>
          <w:rFonts w:ascii="Palatino Linotype" w:hAnsi="Palatino Linotype"/>
          <w:i/>
        </w:rPr>
        <w:t xml:space="preserve">… </w:t>
      </w:r>
    </w:p>
    <w:p w:rsidR="007C4DD9" w:rsidRDefault="007C4DD9" w:rsidP="007C4DD9">
      <w:pPr>
        <w:spacing w:after="0" w:line="276" w:lineRule="auto"/>
        <w:ind w:left="851" w:right="902"/>
        <w:jc w:val="both"/>
        <w:rPr>
          <w:rFonts w:ascii="Palatino Linotype" w:hAnsi="Palatino Linotype"/>
          <w:i/>
        </w:rPr>
      </w:pPr>
      <w:r w:rsidRPr="007C4DD9">
        <w:rPr>
          <w:rFonts w:ascii="Palatino Linotype" w:hAnsi="Palatino Linotype"/>
          <w:i/>
        </w:rPr>
        <w:t xml:space="preserve">Los servidores públicos antes citados, en la aplicación del Sistema, deberán cumplir con lo siguiente: </w:t>
      </w:r>
    </w:p>
    <w:p w:rsidR="00F245BA" w:rsidRDefault="007C4DD9" w:rsidP="007C4DD9">
      <w:pPr>
        <w:spacing w:after="0" w:line="276" w:lineRule="auto"/>
        <w:ind w:left="851" w:right="902"/>
        <w:jc w:val="both"/>
        <w:rPr>
          <w:rFonts w:ascii="Palatino Linotype" w:hAnsi="Palatino Linotype"/>
          <w:i/>
        </w:rPr>
      </w:pPr>
      <w:r w:rsidRPr="007C4DD9">
        <w:rPr>
          <w:rFonts w:ascii="Palatino Linotype" w:hAnsi="Palatino Linotype"/>
          <w:i/>
        </w:rPr>
        <w:t xml:space="preserve">I. Para iniciar un caso en “EL SIGI”, los orientadores jurídicos o los agentes del Ministerio Público, deberán generar un </w:t>
      </w:r>
      <w:r w:rsidRPr="007C4DD9">
        <w:rPr>
          <w:rFonts w:ascii="Palatino Linotype" w:hAnsi="Palatino Linotype"/>
          <w:i/>
          <w:u w:val="single"/>
        </w:rPr>
        <w:t>número interno de control (NIC)</w:t>
      </w:r>
      <w:r w:rsidRPr="007C4DD9">
        <w:rPr>
          <w:rFonts w:ascii="Palatino Linotype" w:hAnsi="Palatino Linotype"/>
          <w:i/>
        </w:rPr>
        <w:t xml:space="preserve"> que es una clave alfanumérica de 30 dígitos en la que pueden registrar lo actuado como noticia criminal; en caso de que sea necesario realizar una carpeta de investigación se generará el </w:t>
      </w:r>
      <w:r w:rsidRPr="007C4DD9">
        <w:rPr>
          <w:rFonts w:ascii="Palatino Linotype" w:hAnsi="Palatino Linotype"/>
          <w:i/>
          <w:u w:val="single"/>
        </w:rPr>
        <w:t>número único de causa (NUC)</w:t>
      </w:r>
      <w:r w:rsidRPr="007C4DD9">
        <w:rPr>
          <w:rFonts w:ascii="Palatino Linotype" w:hAnsi="Palatino Linotype"/>
          <w:i/>
        </w:rPr>
        <w:t xml:space="preserve"> de 28 dígitos, que será la identificación alfanumérica del caso a lo largo de todo el procedimiento penal y por ello será de uso de todos los operadores de conformidad con los convenios que al efecto se suscriban. Dichos números deberán insertarse en todas las actuaciones institucionales. La composición del NIC y del NUC se establece en el anexo uno del presente Acuerdo;</w:t>
      </w:r>
    </w:p>
    <w:p w:rsidR="007C4DD9" w:rsidRDefault="00F245BA" w:rsidP="007C4DD9">
      <w:pPr>
        <w:spacing w:after="0" w:line="276" w:lineRule="auto"/>
        <w:ind w:left="851" w:right="902"/>
        <w:jc w:val="both"/>
        <w:rPr>
          <w:rFonts w:ascii="Palatino Linotype" w:hAnsi="Palatino Linotype"/>
          <w:i/>
        </w:rPr>
      </w:pPr>
      <w:r>
        <w:rPr>
          <w:rFonts w:ascii="Palatino Linotype" w:hAnsi="Palatino Linotype"/>
          <w:i/>
        </w:rPr>
        <w:t>…</w:t>
      </w:r>
      <w:r w:rsidR="002E3668">
        <w:rPr>
          <w:rFonts w:ascii="Palatino Linotype" w:hAnsi="Palatino Linotype"/>
          <w:i/>
        </w:rPr>
        <w:t>”</w:t>
      </w:r>
    </w:p>
    <w:p w:rsidR="002E3668" w:rsidRDefault="00F245BA" w:rsidP="007C4DD9">
      <w:pPr>
        <w:spacing w:after="0" w:line="276" w:lineRule="auto"/>
        <w:ind w:left="851" w:right="902"/>
        <w:jc w:val="both"/>
        <w:rPr>
          <w:rFonts w:ascii="Palatino Linotype" w:hAnsi="Palatino Linotype"/>
          <w:i/>
        </w:rPr>
      </w:pPr>
      <w:r>
        <w:rPr>
          <w:rFonts w:ascii="Palatino Linotype" w:hAnsi="Palatino Linotype"/>
          <w:i/>
        </w:rPr>
        <w:t>(Énfasis añadido)</w:t>
      </w:r>
    </w:p>
    <w:p w:rsidR="00F245BA" w:rsidRPr="007C4DD9" w:rsidRDefault="00F245BA" w:rsidP="00F245BA">
      <w:pPr>
        <w:spacing w:after="0" w:line="276" w:lineRule="auto"/>
        <w:ind w:right="902"/>
        <w:jc w:val="both"/>
        <w:rPr>
          <w:rFonts w:ascii="Palatino Linotype" w:hAnsi="Palatino Linotype"/>
          <w:i/>
        </w:rPr>
      </w:pPr>
    </w:p>
    <w:p w:rsidR="00FC7E81" w:rsidRPr="00F245BA" w:rsidRDefault="001F332E" w:rsidP="00C9777B">
      <w:pPr>
        <w:pStyle w:val="Prrafodelista"/>
        <w:numPr>
          <w:ilvl w:val="0"/>
          <w:numId w:val="2"/>
        </w:numPr>
        <w:spacing w:after="0" w:line="360" w:lineRule="auto"/>
        <w:ind w:left="426" w:right="142"/>
        <w:jc w:val="both"/>
        <w:rPr>
          <w:rFonts w:ascii="Palatino Linotype" w:hAnsi="Palatino Linotype" w:cs="Arial"/>
          <w:sz w:val="24"/>
          <w:szCs w:val="24"/>
        </w:rPr>
      </w:pPr>
      <w:r w:rsidRPr="00F245BA">
        <w:rPr>
          <w:rFonts w:ascii="Palatino Linotype" w:hAnsi="Palatino Linotype" w:cs="Arial"/>
          <w:sz w:val="24"/>
          <w:szCs w:val="24"/>
        </w:rPr>
        <w:t xml:space="preserve">Por </w:t>
      </w:r>
      <w:r w:rsidR="00F245BA" w:rsidRPr="00F245BA">
        <w:rPr>
          <w:rFonts w:ascii="Palatino Linotype" w:hAnsi="Palatino Linotype" w:cs="Arial"/>
          <w:sz w:val="24"/>
          <w:szCs w:val="24"/>
        </w:rPr>
        <w:t>consiguiente</w:t>
      </w:r>
      <w:r w:rsidRPr="00F245BA">
        <w:rPr>
          <w:rFonts w:ascii="Palatino Linotype" w:hAnsi="Palatino Linotype" w:cs="Arial"/>
          <w:sz w:val="24"/>
          <w:szCs w:val="24"/>
        </w:rPr>
        <w:t xml:space="preserve">, el Sujeto Obligado cuenta con atribuciones </w:t>
      </w:r>
      <w:r w:rsidR="00F245BA" w:rsidRPr="00F245BA">
        <w:rPr>
          <w:rFonts w:ascii="Palatino Linotype" w:hAnsi="Palatino Linotype" w:cs="Arial"/>
          <w:sz w:val="24"/>
          <w:szCs w:val="24"/>
        </w:rPr>
        <w:t xml:space="preserve">para generar, administrar poseer la información solicitada, de conformidad con </w:t>
      </w:r>
      <w:r w:rsidR="007342BD" w:rsidRPr="00F245BA">
        <w:rPr>
          <w:rFonts w:ascii="Palatino Linotype" w:hAnsi="Palatino Linotype" w:cs="Arial"/>
          <w:sz w:val="24"/>
          <w:szCs w:val="24"/>
        </w:rPr>
        <w:t xml:space="preserve">lo previsto en los artículos </w:t>
      </w:r>
      <w:r w:rsidR="007342BD" w:rsidRPr="00F245BA">
        <w:rPr>
          <w:rFonts w:ascii="Palatino Linotype" w:hAnsi="Palatino Linotype"/>
          <w:sz w:val="24"/>
          <w:szCs w:val="24"/>
        </w:rPr>
        <w:t>18 y 19 de la Ley de Transparencia y Acceso a la Información Pública del Estado de México y Municipios, que disponen lo siguiente:</w:t>
      </w:r>
    </w:p>
    <w:p w:rsidR="007342BD" w:rsidRPr="002278CF" w:rsidRDefault="007342BD" w:rsidP="007342BD">
      <w:pPr>
        <w:spacing w:after="120"/>
        <w:ind w:left="851" w:right="902"/>
        <w:jc w:val="both"/>
        <w:rPr>
          <w:rFonts w:ascii="Palatino Linotype" w:hAnsi="Palatino Linotype"/>
          <w:i/>
        </w:rPr>
      </w:pPr>
      <w:r w:rsidRPr="002278CF">
        <w:rPr>
          <w:rFonts w:ascii="Palatino Linotype" w:hAnsi="Palatino Linotype"/>
          <w:b/>
          <w:i/>
        </w:rPr>
        <w:t>“Artículo 18.</w:t>
      </w:r>
      <w:r w:rsidRPr="002278CF">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rsidR="007342BD" w:rsidRPr="002278CF" w:rsidRDefault="007342BD" w:rsidP="007342BD">
      <w:pPr>
        <w:spacing w:after="120"/>
        <w:ind w:left="851" w:right="902"/>
        <w:jc w:val="both"/>
        <w:rPr>
          <w:rFonts w:ascii="Palatino Linotype" w:hAnsi="Palatino Linotype"/>
          <w:i/>
        </w:rPr>
      </w:pPr>
      <w:r w:rsidRPr="002278CF">
        <w:rPr>
          <w:rFonts w:ascii="Palatino Linotype" w:hAnsi="Palatino Linotype"/>
          <w:b/>
          <w:i/>
        </w:rPr>
        <w:lastRenderedPageBreak/>
        <w:t>Artículo 19.</w:t>
      </w:r>
      <w:r w:rsidRPr="002278CF">
        <w:rPr>
          <w:rFonts w:ascii="Palatino Linotype" w:hAnsi="Palatino Linotype"/>
          <w:i/>
        </w:rPr>
        <w:t xml:space="preserve"> Se presume que la información debe existir si se refiere a las facultades, competencias y funciones que los ordenamientos jurídicos aplicables otorgan a los sujetos obligados. </w:t>
      </w:r>
    </w:p>
    <w:p w:rsidR="007342BD" w:rsidRPr="002278CF" w:rsidRDefault="007342BD" w:rsidP="007342BD">
      <w:pPr>
        <w:spacing w:after="120"/>
        <w:ind w:left="851" w:right="902"/>
        <w:jc w:val="both"/>
        <w:rPr>
          <w:rFonts w:ascii="Palatino Linotype" w:hAnsi="Palatino Linotype"/>
          <w:i/>
        </w:rPr>
      </w:pPr>
      <w:r w:rsidRPr="002278CF">
        <w:rPr>
          <w:rFonts w:ascii="Palatino Linotype" w:hAnsi="Palatino Linotype"/>
          <w:i/>
        </w:rPr>
        <w:t>En los casos en que ciertas facultades, competencias o funciones no se hayan ejercido, se debe motivar la respuesta en función de las causas que motiven tal circunstancia…”</w:t>
      </w:r>
    </w:p>
    <w:p w:rsidR="007342BD" w:rsidRDefault="007342BD" w:rsidP="0014374D">
      <w:pPr>
        <w:pStyle w:val="Prrafodelista"/>
        <w:numPr>
          <w:ilvl w:val="0"/>
          <w:numId w:val="2"/>
        </w:numPr>
        <w:spacing w:before="240" w:after="0" w:line="360" w:lineRule="auto"/>
        <w:ind w:left="426" w:right="142"/>
        <w:jc w:val="both"/>
        <w:rPr>
          <w:rFonts w:ascii="Palatino Linotype" w:hAnsi="Palatino Linotype" w:cs="Arial"/>
          <w:sz w:val="24"/>
          <w:szCs w:val="24"/>
        </w:rPr>
      </w:pPr>
      <w:r w:rsidRPr="00FC7E81">
        <w:rPr>
          <w:rFonts w:ascii="Palatino Linotype" w:hAnsi="Palatino Linotype" w:cs="Arial"/>
          <w:sz w:val="24"/>
          <w:szCs w:val="24"/>
        </w:rPr>
        <w:t xml:space="preserve">Dicho de otro modo, se actualizan los principios de presunción de existencia y el principio de documentar que corresponde a los sujetos obligados cuando se refiere a las facultades, competencias o funciones que tienen encomendadas, así como a la obligatoriedad que tienen los funcionarios de documentar el ejercicio de sus atribuciones y funciones. </w:t>
      </w:r>
    </w:p>
    <w:p w:rsidR="00FC7E81" w:rsidRPr="00FC7E81" w:rsidRDefault="00FC7E81" w:rsidP="00FC7E81">
      <w:pPr>
        <w:pStyle w:val="Prrafodelista"/>
        <w:spacing w:after="0" w:line="360" w:lineRule="auto"/>
        <w:ind w:left="426" w:right="142"/>
        <w:jc w:val="both"/>
        <w:rPr>
          <w:rFonts w:ascii="Palatino Linotype" w:hAnsi="Palatino Linotype" w:cs="Arial"/>
          <w:sz w:val="24"/>
          <w:szCs w:val="24"/>
        </w:rPr>
      </w:pPr>
    </w:p>
    <w:p w:rsidR="00FC7E81" w:rsidRPr="008B00F7" w:rsidRDefault="00FC7E81" w:rsidP="00FC7E81">
      <w:pPr>
        <w:pStyle w:val="Prrafodelista"/>
        <w:numPr>
          <w:ilvl w:val="0"/>
          <w:numId w:val="2"/>
        </w:numPr>
        <w:spacing w:before="240" w:after="240" w:line="360" w:lineRule="auto"/>
        <w:ind w:left="284" w:right="49"/>
        <w:jc w:val="both"/>
        <w:rPr>
          <w:rFonts w:ascii="Palatino Linotype" w:eastAsia="Times New Roman" w:hAnsi="Palatino Linotype" w:cs="Arial"/>
          <w:sz w:val="24"/>
          <w:szCs w:val="24"/>
          <w:lang w:val="es-ES" w:eastAsia="es-MX"/>
        </w:rPr>
      </w:pPr>
      <w:r w:rsidRPr="008B00F7">
        <w:rPr>
          <w:rFonts w:ascii="Palatino Linotype" w:eastAsia="Times New Roman" w:hAnsi="Palatino Linotype" w:cs="Arial"/>
          <w:sz w:val="24"/>
          <w:szCs w:val="24"/>
          <w:lang w:val="es-ES" w:eastAsia="es-MX"/>
        </w:rPr>
        <w:t xml:space="preserve">De la misma forma, </w:t>
      </w:r>
      <w:r w:rsidRPr="008B00F7">
        <w:rPr>
          <w:rFonts w:ascii="Palatino Linotype" w:eastAsia="MS Mincho" w:hAnsi="Palatino Linotype" w:cs="Times New Roman"/>
          <w:sz w:val="24"/>
          <w:szCs w:val="24"/>
          <w:lang w:val="es-ES_tradnl" w:eastAsia="es-ES"/>
        </w:rPr>
        <w:t>de acuerdo al contenido del artículo 160</w:t>
      </w:r>
      <w:r w:rsidRPr="008B00F7">
        <w:rPr>
          <w:rFonts w:ascii="Palatino Linotype" w:eastAsia="Times New Roman" w:hAnsi="Palatino Linotype" w:cs="Arial"/>
          <w:sz w:val="24"/>
          <w:szCs w:val="24"/>
          <w:lang w:val="es-ES_tradnl" w:eastAsia="es-ES"/>
        </w:rPr>
        <w:t xml:space="preserve"> de la Ley </w:t>
      </w:r>
      <w:r w:rsidRPr="008B00F7">
        <w:rPr>
          <w:rFonts w:ascii="Palatino Linotype" w:eastAsia="MS Mincho" w:hAnsi="Palatino Linotype" w:cs="Tahoma"/>
          <w:sz w:val="24"/>
          <w:szCs w:val="24"/>
          <w:lang w:val="es-ES_tradnl" w:eastAsia="es-ES"/>
        </w:rPr>
        <w:t>General de Transparencia y Acceso a la Información Pública que a la letra dispone:</w:t>
      </w:r>
    </w:p>
    <w:p w:rsidR="00FC7E81" w:rsidRPr="00203D33" w:rsidRDefault="00FC7E81" w:rsidP="00203D33">
      <w:pPr>
        <w:spacing w:after="0" w:line="360" w:lineRule="auto"/>
        <w:ind w:left="851" w:right="616"/>
        <w:contextualSpacing/>
        <w:jc w:val="both"/>
        <w:rPr>
          <w:rFonts w:ascii="Palatino Linotype" w:eastAsia="Times New Roman" w:hAnsi="Palatino Linotype" w:cs="Arial"/>
          <w:i/>
          <w:lang w:eastAsia="gl-ES"/>
        </w:rPr>
      </w:pPr>
      <w:r w:rsidRPr="00FC7E81">
        <w:rPr>
          <w:rFonts w:ascii="Palatino Linotype" w:eastAsia="Times New Roman" w:hAnsi="Palatino Linotype" w:cs="Arial"/>
          <w:b/>
          <w:i/>
          <w:lang w:eastAsia="gl-ES"/>
        </w:rPr>
        <w:t>Artículo 160</w:t>
      </w:r>
      <w:r w:rsidRPr="00FC7E81">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238F4" w:rsidRDefault="007342BD" w:rsidP="007238F4">
      <w:pPr>
        <w:pStyle w:val="Prrafodelista"/>
        <w:numPr>
          <w:ilvl w:val="0"/>
          <w:numId w:val="2"/>
        </w:numPr>
        <w:spacing w:before="240" w:after="240" w:line="360" w:lineRule="auto"/>
        <w:ind w:left="284" w:right="49"/>
        <w:jc w:val="both"/>
        <w:rPr>
          <w:rFonts w:ascii="Palatino Linotype" w:eastAsia="Calibri" w:hAnsi="Palatino Linotype" w:cs="Arial"/>
          <w:sz w:val="24"/>
          <w:szCs w:val="24"/>
          <w:lang w:val="es-ES_tradnl"/>
        </w:rPr>
      </w:pPr>
      <w:r w:rsidRPr="007238F4">
        <w:rPr>
          <w:rFonts w:ascii="Palatino Linotype" w:eastAsia="Calibri" w:hAnsi="Palatino Linotype" w:cs="Arial"/>
          <w:sz w:val="24"/>
          <w:szCs w:val="24"/>
          <w:lang w:val="es-ES_tradnl"/>
        </w:rPr>
        <w:t xml:space="preserve">Como se puede advertir el derecho del particular de acceder a los documentos que obran en posesión del Sujeto Obligado se encuentra limitado, en virtud de que </w:t>
      </w:r>
      <w:r w:rsidR="00F245BA">
        <w:rPr>
          <w:rFonts w:ascii="Palatino Linotype" w:eastAsia="Calibri" w:hAnsi="Palatino Linotype" w:cs="Arial"/>
          <w:sz w:val="24"/>
          <w:szCs w:val="24"/>
          <w:lang w:val="es-ES_tradnl"/>
        </w:rPr>
        <w:t>le fue negada la información</w:t>
      </w:r>
      <w:r w:rsidR="007238F4">
        <w:rPr>
          <w:rFonts w:ascii="Palatino Linotype" w:eastAsia="Calibri" w:hAnsi="Palatino Linotype" w:cs="Arial"/>
          <w:sz w:val="24"/>
          <w:szCs w:val="24"/>
          <w:lang w:val="es-ES_tradnl"/>
        </w:rPr>
        <w:t>;</w:t>
      </w:r>
      <w:r w:rsidRPr="007238F4">
        <w:rPr>
          <w:rFonts w:ascii="Palatino Linotype" w:eastAsia="Calibri" w:hAnsi="Palatino Linotype" w:cs="Arial"/>
          <w:sz w:val="24"/>
          <w:szCs w:val="24"/>
          <w:lang w:val="es-ES_tradnl"/>
        </w:rPr>
        <w:t xml:space="preserve"> incumpliendo así lo previsto en el artículo 4 de la Ley de la Materia, toda vez que el derecho de acceso a la información se define como la prerrogativa que tiene toda persona para acceder a la información </w:t>
      </w:r>
      <w:r w:rsidRPr="007238F4">
        <w:rPr>
          <w:rFonts w:ascii="Palatino Linotype" w:eastAsia="Calibri" w:hAnsi="Palatino Linotype" w:cs="Arial"/>
          <w:sz w:val="24"/>
          <w:szCs w:val="24"/>
          <w:lang w:val="es-ES_tradnl"/>
        </w:rPr>
        <w:lastRenderedPageBreak/>
        <w:t xml:space="preserve">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w:t>
      </w:r>
      <w:r w:rsidRPr="001D5E13">
        <w:rPr>
          <w:rFonts w:ascii="Palatino Linotype" w:eastAsia="Calibri" w:hAnsi="Palatino Linotype" w:cs="Arial"/>
          <w:sz w:val="24"/>
          <w:szCs w:val="24"/>
          <w:lang w:val="es-ES_tradnl"/>
        </w:rPr>
        <w:t>reconocerse como un derecho fundamental es que todo Sujeto Obligado debe ceñir su actuar a la conservación patrimonial de sus archivos documentales y posteriormente el acceso de la información pública.</w:t>
      </w:r>
    </w:p>
    <w:p w:rsidR="007238F4" w:rsidRDefault="007238F4" w:rsidP="007238F4">
      <w:pPr>
        <w:pStyle w:val="Prrafodelista"/>
        <w:spacing w:before="240" w:after="240" w:line="360" w:lineRule="auto"/>
        <w:ind w:left="284" w:right="49"/>
        <w:jc w:val="both"/>
        <w:rPr>
          <w:rFonts w:ascii="Palatino Linotype" w:eastAsia="Calibri" w:hAnsi="Palatino Linotype" w:cs="Arial"/>
          <w:sz w:val="24"/>
          <w:szCs w:val="24"/>
          <w:lang w:val="es-ES_tradnl"/>
        </w:rPr>
      </w:pPr>
    </w:p>
    <w:p w:rsidR="007342BD" w:rsidRPr="001D5E13" w:rsidRDefault="007342BD" w:rsidP="001D5E13">
      <w:pPr>
        <w:pStyle w:val="Prrafodelista"/>
        <w:numPr>
          <w:ilvl w:val="0"/>
          <w:numId w:val="2"/>
        </w:numPr>
        <w:spacing w:before="240" w:after="240" w:line="360" w:lineRule="auto"/>
        <w:ind w:left="284" w:right="49"/>
        <w:jc w:val="both"/>
        <w:rPr>
          <w:rFonts w:ascii="Palatino Linotype" w:hAnsi="Palatino Linotype" w:cs="Arial"/>
          <w:sz w:val="24"/>
          <w:szCs w:val="24"/>
        </w:rPr>
      </w:pPr>
      <w:r w:rsidRPr="007238F4">
        <w:rPr>
          <w:rFonts w:ascii="Palatino Linotype" w:hAnsi="Palatino Linotype"/>
          <w:sz w:val="24"/>
          <w:szCs w:val="24"/>
        </w:rPr>
        <w:t xml:space="preserve">Consecuentemente, no es posible tener por satisfecho el derecho de acceso a la información del hoy </w:t>
      </w:r>
      <w:r w:rsidR="007238F4" w:rsidRPr="007238F4">
        <w:rPr>
          <w:rFonts w:ascii="Palatino Linotype" w:hAnsi="Palatino Linotype"/>
          <w:sz w:val="24"/>
          <w:szCs w:val="24"/>
        </w:rPr>
        <w:t>recurrente</w:t>
      </w:r>
      <w:r w:rsidR="007238F4" w:rsidRPr="007238F4">
        <w:rPr>
          <w:rFonts w:ascii="Palatino Linotype" w:hAnsi="Palatino Linotype"/>
          <w:b/>
          <w:i/>
          <w:sz w:val="24"/>
          <w:szCs w:val="24"/>
        </w:rPr>
        <w:t xml:space="preserve"> </w:t>
      </w:r>
      <w:r w:rsidRPr="007238F4">
        <w:rPr>
          <w:rFonts w:ascii="Palatino Linotype" w:hAnsi="Palatino Linotype"/>
          <w:sz w:val="24"/>
          <w:szCs w:val="24"/>
        </w:rPr>
        <w:t xml:space="preserve">en virtud de que </w:t>
      </w:r>
      <w:r w:rsidR="001D5E13">
        <w:rPr>
          <w:rFonts w:ascii="Palatino Linotype" w:hAnsi="Palatino Linotype"/>
          <w:sz w:val="24"/>
          <w:szCs w:val="24"/>
        </w:rPr>
        <w:t>en</w:t>
      </w:r>
      <w:r w:rsidRPr="001D5E13">
        <w:rPr>
          <w:rFonts w:ascii="Palatino Linotype" w:hAnsi="Palatino Linotype" w:cs="Arial"/>
          <w:sz w:val="24"/>
          <w:szCs w:val="24"/>
        </w:rPr>
        <w:t xml:space="preserve"> primer término es preciso referir que estamos ante el escenario de documentos los cuales son </w:t>
      </w:r>
      <w:r w:rsidR="001D5E13">
        <w:rPr>
          <w:rFonts w:ascii="Palatino Linotype" w:hAnsi="Palatino Linotype" w:cs="Arial"/>
          <w:sz w:val="24"/>
          <w:szCs w:val="24"/>
        </w:rPr>
        <w:t>considerados públicos, es decir</w:t>
      </w:r>
      <w:r w:rsidRPr="001D5E13">
        <w:rPr>
          <w:rFonts w:ascii="Palatino Linotype" w:hAnsi="Palatino Linotype" w:cs="Arial"/>
          <w:sz w:val="24"/>
          <w:szCs w:val="24"/>
        </w:rPr>
        <w:t>, la naturaleza de los oficios y de los asuntos que</w:t>
      </w:r>
      <w:r w:rsidR="00F245BA">
        <w:rPr>
          <w:rFonts w:ascii="Palatino Linotype" w:hAnsi="Palatino Linotype" w:cs="Arial"/>
          <w:sz w:val="24"/>
          <w:szCs w:val="24"/>
        </w:rPr>
        <w:t xml:space="preserve"> se traten</w:t>
      </w:r>
      <w:r w:rsidRPr="001D5E13">
        <w:rPr>
          <w:rFonts w:ascii="Palatino Linotype" w:hAnsi="Palatino Linotype" w:cs="Arial"/>
          <w:sz w:val="24"/>
          <w:szCs w:val="24"/>
        </w:rPr>
        <w:t>, sirve de referencia los artículos 1, 2, 5 y 6 de la Ley de Documentos Administrativos e Históricos del Estado de México que a continuación se trascriben:</w:t>
      </w:r>
    </w:p>
    <w:p w:rsidR="007342BD" w:rsidRPr="001D5E13" w:rsidRDefault="007342BD" w:rsidP="007342BD">
      <w:pPr>
        <w:spacing w:before="100" w:beforeAutospacing="1" w:after="100" w:afterAutospacing="1"/>
        <w:ind w:left="851" w:right="851"/>
        <w:jc w:val="both"/>
        <w:rPr>
          <w:rFonts w:ascii="Palatino Linotype" w:hAnsi="Palatino Linotype" w:cs="Arial"/>
          <w:i/>
        </w:rPr>
      </w:pPr>
      <w:r w:rsidRPr="001D5E13">
        <w:rPr>
          <w:rFonts w:ascii="Palatino Linotype" w:hAnsi="Palatino Linotype" w:cs="Arial"/>
          <w:i/>
        </w:rPr>
        <w:t xml:space="preserve">“Artículo 1. La presente Ley, </w:t>
      </w:r>
      <w:r w:rsidRPr="001D5E13">
        <w:rPr>
          <w:rFonts w:ascii="Palatino Linotype" w:hAnsi="Palatino Linotype" w:cs="Arial"/>
          <w:b/>
          <w:i/>
          <w:u w:val="single"/>
        </w:rPr>
        <w:t xml:space="preserve">es de orden público e interés social y tiene por objeto normar y regular la administración de documentos administrativos </w:t>
      </w:r>
      <w:r w:rsidRPr="00943C74">
        <w:rPr>
          <w:rFonts w:ascii="Palatino Linotype" w:hAnsi="Palatino Linotype" w:cs="Arial"/>
          <w:i/>
        </w:rPr>
        <w:t>e históricos</w:t>
      </w:r>
      <w:r w:rsidRPr="001D5E13">
        <w:rPr>
          <w:rFonts w:ascii="Palatino Linotype" w:hAnsi="Palatino Linotype" w:cs="Arial"/>
          <w:b/>
          <w:i/>
          <w:u w:val="single"/>
        </w:rPr>
        <w:t xml:space="preserve"> de las autoridades del Estado</w:t>
      </w:r>
      <w:r w:rsidRPr="001D5E13">
        <w:rPr>
          <w:rFonts w:ascii="Palatino Linotype" w:hAnsi="Palatino Linotype" w:cs="Arial"/>
          <w:i/>
        </w:rPr>
        <w:t xml:space="preserve"> y los municipios en el ámbito de su competencia. Se entiende por documento, cualquier objeto o archivo electrónico o de cualquier otra tecnología existente que pueda dar constancia de un hecho.”</w:t>
      </w:r>
    </w:p>
    <w:p w:rsidR="007342BD" w:rsidRPr="001D5E13" w:rsidRDefault="007342BD" w:rsidP="007342BD">
      <w:pPr>
        <w:spacing w:before="100" w:beforeAutospacing="1" w:after="100" w:afterAutospacing="1"/>
        <w:ind w:left="851" w:right="851"/>
        <w:jc w:val="both"/>
        <w:rPr>
          <w:rFonts w:ascii="Palatino Linotype" w:hAnsi="Palatino Linotype" w:cs="Arial"/>
          <w:b/>
          <w:i/>
          <w:u w:val="single"/>
        </w:rPr>
      </w:pPr>
      <w:r w:rsidRPr="001D5E13">
        <w:rPr>
          <w:rFonts w:ascii="Palatino Linotype" w:hAnsi="Palatino Linotype" w:cs="Arial"/>
          <w:i/>
        </w:rPr>
        <w:t xml:space="preserve">“Artículo 2.- Para los efectos de esta Ley, </w:t>
      </w:r>
      <w:r w:rsidRPr="001D5E13">
        <w:rPr>
          <w:rFonts w:ascii="Palatino Linotype" w:hAnsi="Palatino Linotype" w:cs="Arial"/>
          <w:b/>
          <w:i/>
          <w:u w:val="single"/>
        </w:rPr>
        <w:t xml:space="preserve">se entiende por Administración de Documentos: </w:t>
      </w:r>
    </w:p>
    <w:p w:rsidR="007342BD" w:rsidRPr="001D5E13" w:rsidRDefault="007342BD" w:rsidP="007342BD">
      <w:pPr>
        <w:spacing w:before="100" w:beforeAutospacing="1" w:after="100" w:afterAutospacing="1"/>
        <w:ind w:left="851" w:right="851"/>
        <w:jc w:val="both"/>
        <w:rPr>
          <w:rFonts w:ascii="Palatino Linotype" w:hAnsi="Palatino Linotype" w:cs="Arial"/>
          <w:i/>
        </w:rPr>
      </w:pPr>
      <w:r w:rsidRPr="001D5E13">
        <w:rPr>
          <w:rFonts w:ascii="Palatino Linotype" w:hAnsi="Palatino Linotype" w:cs="Arial"/>
          <w:i/>
        </w:rPr>
        <w:lastRenderedPageBreak/>
        <w:t xml:space="preserve">a) </w:t>
      </w:r>
      <w:r w:rsidRPr="001D5E13">
        <w:rPr>
          <w:rFonts w:ascii="Palatino Linotype" w:hAnsi="Palatino Linotype" w:cs="Arial"/>
          <w:b/>
          <w:i/>
          <w:u w:val="single"/>
        </w:rPr>
        <w:t>Los actos tendientes a inventariar, regular, coordinar y dinamizar el funcionamiento y uso de los documentos existentes</w:t>
      </w:r>
      <w:r w:rsidRPr="001D5E13">
        <w:rPr>
          <w:rFonts w:ascii="Palatino Linotype" w:hAnsi="Palatino Linotype" w:cs="Arial"/>
          <w:i/>
        </w:rPr>
        <w:t xml:space="preserve"> en los Archivos Administrativos e Históricos de los Poderes del Estado, Municipios y Organismos Auxiliares y en su caso, los que posean particulares.</w:t>
      </w:r>
    </w:p>
    <w:p w:rsidR="007342BD" w:rsidRPr="001D5E13" w:rsidRDefault="007342BD" w:rsidP="007342BD">
      <w:pPr>
        <w:spacing w:before="100" w:beforeAutospacing="1" w:after="100" w:afterAutospacing="1"/>
        <w:ind w:left="851" w:right="851"/>
        <w:jc w:val="both"/>
        <w:rPr>
          <w:rFonts w:ascii="Palatino Linotype" w:hAnsi="Palatino Linotype" w:cs="Arial"/>
          <w:i/>
        </w:rPr>
      </w:pPr>
      <w:r w:rsidRPr="001D5E13">
        <w:rPr>
          <w:rFonts w:ascii="Palatino Linotype" w:hAnsi="Palatino Linotype" w:cs="Arial"/>
          <w:i/>
        </w:rPr>
        <w:t xml:space="preserve">b) </w:t>
      </w:r>
      <w:r w:rsidRPr="001D5E13">
        <w:rPr>
          <w:rFonts w:ascii="Palatino Linotype" w:hAnsi="Palatino Linotype" w:cs="Arial"/>
          <w:b/>
          <w:i/>
          <w:u w:val="single"/>
        </w:rPr>
        <w:t>Los actos que se realicen para generar, recibir, mantener, custodiar, reconstruir, depurar o destruir Documentos Administrativos</w:t>
      </w:r>
      <w:r w:rsidRPr="001D5E13">
        <w:rPr>
          <w:rFonts w:ascii="Palatino Linotype" w:hAnsi="Palatino Linotype" w:cs="Arial"/>
          <w:i/>
        </w:rPr>
        <w:t xml:space="preserve"> o Históricos, que por su importancia sean fuentes esenciales de información acerca del pasado y presente de la vida institucional del Estado.”</w:t>
      </w:r>
    </w:p>
    <w:p w:rsidR="007342BD" w:rsidRPr="001D5E13" w:rsidRDefault="007342BD" w:rsidP="007342BD">
      <w:pPr>
        <w:spacing w:before="100" w:beforeAutospacing="1" w:after="100" w:afterAutospacing="1"/>
        <w:ind w:left="851" w:right="851"/>
        <w:jc w:val="both"/>
        <w:rPr>
          <w:rFonts w:ascii="Palatino Linotype" w:hAnsi="Palatino Linotype" w:cs="Arial"/>
          <w:i/>
        </w:rPr>
      </w:pPr>
      <w:r w:rsidRPr="001D5E13">
        <w:rPr>
          <w:rFonts w:ascii="Palatino Linotype" w:hAnsi="Palatino Linotype" w:cs="Arial"/>
          <w:i/>
        </w:rPr>
        <w:t>“Artículo 3.-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rsidR="007342BD" w:rsidRPr="001D5E13" w:rsidRDefault="007342BD" w:rsidP="007342BD">
      <w:pPr>
        <w:spacing w:before="100" w:beforeAutospacing="1" w:after="100" w:afterAutospacing="1"/>
        <w:ind w:left="851" w:right="851"/>
        <w:jc w:val="both"/>
        <w:rPr>
          <w:rFonts w:ascii="Palatino Linotype" w:hAnsi="Palatino Linotype" w:cs="Arial"/>
          <w:i/>
        </w:rPr>
      </w:pPr>
      <w:r w:rsidRPr="001D5E13">
        <w:rPr>
          <w:rFonts w:ascii="Palatino Linotype" w:hAnsi="Palatino Linotype" w:cs="Arial"/>
          <w:i/>
        </w:rPr>
        <w:t xml:space="preserve">“Artículo 5.- </w:t>
      </w:r>
      <w:r w:rsidRPr="001D5E13">
        <w:rPr>
          <w:rFonts w:ascii="Palatino Linotype" w:hAnsi="Palatino Linotype" w:cs="Arial"/>
          <w:b/>
          <w:i/>
          <w:u w:val="single"/>
        </w:rPr>
        <w:t>El servidor público, encargado de recibir documentos, los registrará en el acto de su recepción, indicando el destino que deba darse a cada uno</w:t>
      </w:r>
    </w:p>
    <w:p w:rsidR="007342BD" w:rsidRDefault="007342BD" w:rsidP="007342BD">
      <w:pPr>
        <w:spacing w:before="100" w:beforeAutospacing="1" w:after="100" w:afterAutospacing="1"/>
        <w:ind w:left="851" w:right="851"/>
        <w:jc w:val="both"/>
        <w:rPr>
          <w:rFonts w:ascii="Palatino Linotype" w:hAnsi="Palatino Linotype" w:cs="Arial"/>
          <w:i/>
        </w:rPr>
      </w:pPr>
      <w:r w:rsidRPr="001D5E13">
        <w:rPr>
          <w:rFonts w:ascii="Palatino Linotype" w:hAnsi="Palatino Linotype" w:cs="Arial"/>
          <w:i/>
        </w:rPr>
        <w:t xml:space="preserve">“Artículo 6.- </w:t>
      </w:r>
      <w:r w:rsidRPr="001D5E13">
        <w:rPr>
          <w:rFonts w:ascii="Palatino Linotype" w:hAnsi="Palatino Linotype" w:cs="Arial"/>
          <w:b/>
          <w:i/>
          <w:u w:val="single"/>
        </w:rPr>
        <w:t>Los usuarios tendrán acceso a la información de los documentos, conforme a lo dispuesto por la ley de la materia</w:t>
      </w:r>
      <w:r w:rsidRPr="001D5E13">
        <w:rPr>
          <w:rFonts w:ascii="Palatino Linotype" w:hAnsi="Palatino Linotype" w:cs="Arial"/>
          <w:i/>
        </w:rPr>
        <w:t>.”</w:t>
      </w:r>
    </w:p>
    <w:p w:rsidR="001D5E13" w:rsidRPr="001D5E13" w:rsidRDefault="001D5E13" w:rsidP="007342BD">
      <w:pPr>
        <w:spacing w:before="100" w:beforeAutospacing="1" w:after="100" w:afterAutospacing="1"/>
        <w:ind w:left="851" w:right="851"/>
        <w:jc w:val="both"/>
        <w:rPr>
          <w:rFonts w:ascii="Palatino Linotype" w:hAnsi="Palatino Linotype" w:cs="Arial"/>
          <w:i/>
        </w:rPr>
      </w:pPr>
      <w:r>
        <w:rPr>
          <w:rFonts w:ascii="Palatino Linotype" w:hAnsi="Palatino Linotype" w:cs="Arial"/>
          <w:i/>
        </w:rPr>
        <w:t>(Énfasis añadido)</w:t>
      </w:r>
    </w:p>
    <w:p w:rsidR="001D5E13" w:rsidRDefault="007342BD" w:rsidP="001D5E13">
      <w:pPr>
        <w:pStyle w:val="Prrafodelista"/>
        <w:numPr>
          <w:ilvl w:val="0"/>
          <w:numId w:val="2"/>
        </w:numPr>
        <w:spacing w:before="240" w:after="240" w:line="360" w:lineRule="auto"/>
        <w:ind w:left="284" w:right="49"/>
        <w:jc w:val="both"/>
        <w:rPr>
          <w:rFonts w:ascii="Palatino Linotype" w:hAnsi="Palatino Linotype"/>
          <w:sz w:val="24"/>
          <w:szCs w:val="24"/>
        </w:rPr>
      </w:pPr>
      <w:r w:rsidRPr="001D5E13">
        <w:rPr>
          <w:rFonts w:ascii="Palatino Linotype" w:hAnsi="Palatino Linotype"/>
          <w:sz w:val="24"/>
          <w:szCs w:val="24"/>
        </w:rPr>
        <w:t xml:space="preserve">De los preceptos jurídicos invocados con anterioridad se desprende que la Ley que regula los documentos en el Estado indica que es de orden público e interés social, es decir, tiene efectos </w:t>
      </w:r>
      <w:r w:rsidRPr="001D5E13">
        <w:rPr>
          <w:rFonts w:ascii="Palatino Linotype" w:hAnsi="Palatino Linotype"/>
          <w:i/>
          <w:sz w:val="24"/>
          <w:szCs w:val="24"/>
        </w:rPr>
        <w:t>erga omnes</w:t>
      </w:r>
      <w:r w:rsidRPr="001D5E13">
        <w:rPr>
          <w:rFonts w:ascii="Palatino Linotype" w:hAnsi="Palatino Linotype"/>
          <w:sz w:val="24"/>
          <w:szCs w:val="24"/>
        </w:rPr>
        <w:t xml:space="preserve"> los cuales todas aquellas autoridades que estén en el territorio mexiquense les aplica la </w:t>
      </w:r>
      <w:r w:rsidR="001D5E13" w:rsidRPr="001D5E13">
        <w:rPr>
          <w:rFonts w:ascii="Palatino Linotype" w:hAnsi="Palatino Linotype"/>
          <w:sz w:val="24"/>
          <w:szCs w:val="24"/>
        </w:rPr>
        <w:t xml:space="preserve">Ley </w:t>
      </w:r>
      <w:r w:rsidRPr="001D5E13">
        <w:rPr>
          <w:rFonts w:ascii="Palatino Linotype" w:hAnsi="Palatino Linotype"/>
          <w:sz w:val="24"/>
          <w:szCs w:val="24"/>
        </w:rPr>
        <w:t xml:space="preserve">en cuestión tratándose en materia de documentos, así mismo como lo es el Sujeto Obligado, juega un papel de autoridad, es decir, se configura el hecho de que estamos ante una dependencia que realiza actos de autoridad y que estos mismos se deben documentar como la Ley de la materia lo </w:t>
      </w:r>
      <w:r w:rsidR="001D5E13">
        <w:rPr>
          <w:rFonts w:ascii="Palatino Linotype" w:hAnsi="Palatino Linotype"/>
          <w:sz w:val="24"/>
          <w:szCs w:val="24"/>
        </w:rPr>
        <w:t>señala</w:t>
      </w:r>
      <w:r w:rsidRPr="001D5E13">
        <w:rPr>
          <w:rFonts w:ascii="Palatino Linotype" w:hAnsi="Palatino Linotype"/>
          <w:sz w:val="24"/>
          <w:szCs w:val="24"/>
        </w:rPr>
        <w:t>.</w:t>
      </w:r>
    </w:p>
    <w:p w:rsidR="001F332E" w:rsidRDefault="001F332E" w:rsidP="00943C74">
      <w:pPr>
        <w:pStyle w:val="Prrafodelista"/>
        <w:spacing w:before="240" w:after="240" w:line="360" w:lineRule="auto"/>
        <w:ind w:left="284" w:right="49"/>
        <w:jc w:val="both"/>
        <w:rPr>
          <w:rFonts w:ascii="Palatino Linotype" w:hAnsi="Palatino Linotype"/>
          <w:sz w:val="24"/>
          <w:szCs w:val="24"/>
        </w:rPr>
      </w:pPr>
    </w:p>
    <w:p w:rsidR="001D5E13" w:rsidRPr="001D5E13" w:rsidRDefault="007342BD" w:rsidP="001D5E13">
      <w:pPr>
        <w:pStyle w:val="Prrafodelista"/>
        <w:numPr>
          <w:ilvl w:val="0"/>
          <w:numId w:val="2"/>
        </w:numPr>
        <w:spacing w:before="240" w:after="240" w:line="360" w:lineRule="auto"/>
        <w:ind w:left="284" w:right="49"/>
        <w:jc w:val="both"/>
        <w:rPr>
          <w:rFonts w:ascii="Palatino Linotype" w:hAnsi="Palatino Linotype"/>
          <w:sz w:val="24"/>
          <w:szCs w:val="24"/>
        </w:rPr>
      </w:pPr>
      <w:r w:rsidRPr="001D5E13">
        <w:rPr>
          <w:rFonts w:ascii="Palatino Linotype" w:hAnsi="Palatino Linotype" w:cs="Arial"/>
          <w:sz w:val="24"/>
          <w:szCs w:val="24"/>
        </w:rPr>
        <w:t>Por otro lado, las instituciones encargadas de la administración de documentos y que a su vez en relación con lo anterior realizan actos de autoridad, deben llevar una correcta administración de los documentos que</w:t>
      </w:r>
      <w:r w:rsidR="000F2784">
        <w:rPr>
          <w:rFonts w:ascii="Palatino Linotype" w:hAnsi="Palatino Linotype" w:cs="Arial"/>
          <w:sz w:val="24"/>
          <w:szCs w:val="24"/>
        </w:rPr>
        <w:t xml:space="preserve"> generan</w:t>
      </w:r>
      <w:r w:rsidRPr="001D5E13">
        <w:rPr>
          <w:rFonts w:ascii="Palatino Linotype" w:hAnsi="Palatino Linotype" w:cs="Arial"/>
          <w:sz w:val="24"/>
          <w:szCs w:val="24"/>
        </w:rPr>
        <w:t xml:space="preserve"> y reciben, en el entendido que la administración no solo lleva el resguardo de los documentos sino también el inventario, regulación, coordinación y dinamización en el funcionamiento y uso de estos.</w:t>
      </w:r>
    </w:p>
    <w:p w:rsidR="001D5E13" w:rsidRPr="001D5E13" w:rsidRDefault="001D5E13" w:rsidP="001D5E13">
      <w:pPr>
        <w:pStyle w:val="Prrafodelista"/>
        <w:rPr>
          <w:rFonts w:ascii="Palatino Linotype" w:hAnsi="Palatino Linotype" w:cs="Arial"/>
          <w:sz w:val="24"/>
          <w:szCs w:val="24"/>
        </w:rPr>
      </w:pPr>
    </w:p>
    <w:p w:rsidR="009013BD" w:rsidRPr="009013BD" w:rsidRDefault="007342BD" w:rsidP="00F26C18">
      <w:pPr>
        <w:pStyle w:val="Prrafodelista"/>
        <w:numPr>
          <w:ilvl w:val="0"/>
          <w:numId w:val="2"/>
        </w:numPr>
        <w:spacing w:before="240" w:after="240" w:line="360" w:lineRule="auto"/>
        <w:ind w:left="284" w:right="49"/>
        <w:jc w:val="both"/>
        <w:rPr>
          <w:rFonts w:ascii="Palatino Linotype" w:hAnsi="Palatino Linotype"/>
          <w:sz w:val="24"/>
          <w:szCs w:val="24"/>
        </w:rPr>
      </w:pPr>
      <w:r w:rsidRPr="001D5E13">
        <w:rPr>
          <w:rFonts w:ascii="Palatino Linotype" w:hAnsi="Palatino Linotype" w:cs="Arial"/>
          <w:sz w:val="24"/>
          <w:szCs w:val="24"/>
        </w:rPr>
        <w:t>As</w:t>
      </w:r>
      <w:r w:rsidR="001D5E13">
        <w:rPr>
          <w:rFonts w:ascii="Palatino Linotype" w:hAnsi="Palatino Linotype" w:cs="Arial"/>
          <w:sz w:val="24"/>
          <w:szCs w:val="24"/>
        </w:rPr>
        <w:t>i</w:t>
      </w:r>
      <w:r w:rsidRPr="001D5E13">
        <w:rPr>
          <w:rFonts w:ascii="Palatino Linotype" w:hAnsi="Palatino Linotype" w:cs="Arial"/>
          <w:sz w:val="24"/>
          <w:szCs w:val="24"/>
        </w:rPr>
        <w:t xml:space="preserve">mismo, los documentos generados </w:t>
      </w:r>
      <w:r w:rsidRPr="00F26C18">
        <w:rPr>
          <w:rFonts w:ascii="Palatino Linotype" w:hAnsi="Palatino Linotype" w:cs="Arial"/>
          <w:sz w:val="24"/>
          <w:szCs w:val="24"/>
        </w:rPr>
        <w:t xml:space="preserve">por las instituciones en este caso por </w:t>
      </w:r>
      <w:r w:rsidR="00F26C18">
        <w:rPr>
          <w:rFonts w:ascii="Palatino Linotype" w:hAnsi="Palatino Linotype" w:cs="Arial"/>
          <w:sz w:val="24"/>
          <w:szCs w:val="24"/>
        </w:rPr>
        <w:t xml:space="preserve">la </w:t>
      </w:r>
      <w:r w:rsidR="00F26C18" w:rsidRPr="00F26C18">
        <w:rPr>
          <w:rFonts w:ascii="Palatino Linotype" w:hAnsi="Palatino Linotype" w:cs="Arial"/>
          <w:sz w:val="24"/>
          <w:szCs w:val="24"/>
        </w:rPr>
        <w:t>Fiscalía General de Justicia del Estado de México</w:t>
      </w:r>
      <w:r w:rsidRPr="001D5E13">
        <w:rPr>
          <w:rFonts w:ascii="Palatino Linotype" w:hAnsi="Palatino Linotype" w:cs="Arial"/>
          <w:sz w:val="24"/>
          <w:szCs w:val="24"/>
        </w:rPr>
        <w:t>, debieron ser registrados en el acto de su generación o recepción, indicando en todo momento el destino de estos, para un control de específico</w:t>
      </w:r>
      <w:r w:rsidR="009013BD">
        <w:rPr>
          <w:rFonts w:ascii="Palatino Linotype" w:hAnsi="Palatino Linotype" w:cs="Arial"/>
          <w:sz w:val="24"/>
          <w:szCs w:val="24"/>
        </w:rPr>
        <w:t xml:space="preserve"> y puntual de dich</w:t>
      </w:r>
      <w:r w:rsidR="00767D06">
        <w:rPr>
          <w:rFonts w:ascii="Palatino Linotype" w:hAnsi="Palatino Linotype" w:cs="Arial"/>
          <w:sz w:val="24"/>
          <w:szCs w:val="24"/>
        </w:rPr>
        <w:t>os documentos</w:t>
      </w:r>
      <w:r w:rsidRPr="009013BD">
        <w:rPr>
          <w:rFonts w:ascii="Palatino Linotype" w:hAnsi="Palatino Linotype" w:cs="Arial"/>
          <w:sz w:val="24"/>
          <w:szCs w:val="24"/>
        </w:rPr>
        <w:t>, también es importante hacer ver que el marco jurídico antes citado establece las bases mínimas para concentrar y administrar el material documental y dicha ley es el instrumento jurídico que norma el archivo y la administración de los documentos.</w:t>
      </w:r>
    </w:p>
    <w:p w:rsidR="009013BD" w:rsidRPr="009013BD" w:rsidRDefault="009013BD" w:rsidP="009013BD">
      <w:pPr>
        <w:pStyle w:val="Prrafodelista"/>
        <w:rPr>
          <w:rFonts w:ascii="Palatino Linotype" w:hAnsi="Palatino Linotype" w:cs="Arial"/>
          <w:sz w:val="24"/>
          <w:szCs w:val="24"/>
        </w:rPr>
      </w:pPr>
    </w:p>
    <w:p w:rsidR="00BD3E90" w:rsidRPr="00767D06" w:rsidRDefault="00BD3E90" w:rsidP="00BD3E90">
      <w:pPr>
        <w:pStyle w:val="Prrafodelista"/>
        <w:numPr>
          <w:ilvl w:val="0"/>
          <w:numId w:val="2"/>
        </w:numPr>
        <w:spacing w:before="100" w:beforeAutospacing="1" w:after="100" w:afterAutospacing="1" w:line="360" w:lineRule="auto"/>
        <w:ind w:left="284" w:right="49"/>
        <w:jc w:val="both"/>
        <w:rPr>
          <w:rFonts w:ascii="Palatino Linotype" w:hAnsi="Palatino Linotype" w:cs="Arial"/>
          <w:sz w:val="24"/>
          <w:szCs w:val="24"/>
        </w:rPr>
      </w:pPr>
      <w:r w:rsidRPr="00767D06">
        <w:rPr>
          <w:rFonts w:ascii="Palatino Linotype" w:eastAsia="Calibri" w:hAnsi="Palatino Linotype" w:cs="Arial"/>
          <w:sz w:val="24"/>
          <w:szCs w:val="24"/>
          <w:lang w:val="es-ES" w:eastAsia="es-ES"/>
        </w:rPr>
        <w:t>En esa tesitura, de conformidad con Lineamientos para la organización y conservación de los archivos</w:t>
      </w:r>
      <w:r w:rsidRPr="00767D06">
        <w:rPr>
          <w:rStyle w:val="Refdenotaalpie"/>
          <w:rFonts w:ascii="Palatino Linotype" w:eastAsia="Calibri" w:hAnsi="Palatino Linotype" w:cs="Arial"/>
          <w:sz w:val="24"/>
          <w:szCs w:val="24"/>
          <w:lang w:val="es-ES" w:eastAsia="es-ES"/>
        </w:rPr>
        <w:footnoteReference w:id="4"/>
      </w:r>
      <w:r w:rsidRPr="00767D06">
        <w:rPr>
          <w:rFonts w:ascii="Palatino Linotype" w:eastAsia="Calibri" w:hAnsi="Palatino Linotype" w:cs="Arial"/>
          <w:sz w:val="24"/>
          <w:szCs w:val="24"/>
          <w:lang w:val="es-ES" w:eastAsia="es-ES"/>
        </w:rPr>
        <w:t xml:space="preserve"> emitidos por la Consejo Nacional del Sistema Nacional de Transparencia, Acceso a la Información Pública y Protección de Datos Personales establece lo siguiente: </w:t>
      </w:r>
    </w:p>
    <w:p w:rsidR="00BD3E90" w:rsidRPr="00767D06" w:rsidRDefault="00BD3E90" w:rsidP="00BD3E90">
      <w:pPr>
        <w:pStyle w:val="Prrafodelista"/>
        <w:rPr>
          <w:rFonts w:ascii="Palatino Linotype" w:hAnsi="Palatino Linotype" w:cs="Arial"/>
          <w:sz w:val="24"/>
          <w:szCs w:val="24"/>
        </w:rPr>
      </w:pPr>
    </w:p>
    <w:p w:rsidR="003E1237" w:rsidRPr="00767D06" w:rsidRDefault="00BD3E90" w:rsidP="0051298E">
      <w:pPr>
        <w:spacing w:after="0" w:line="360" w:lineRule="auto"/>
        <w:ind w:left="851" w:right="851"/>
        <w:jc w:val="both"/>
        <w:rPr>
          <w:rFonts w:ascii="Palatino Linotype" w:hAnsi="Palatino Linotype" w:cs="Arial"/>
          <w:i/>
        </w:rPr>
      </w:pPr>
      <w:r w:rsidRPr="00767D06">
        <w:rPr>
          <w:rFonts w:ascii="Palatino Linotype" w:hAnsi="Palatino Linotype" w:cs="Arial"/>
          <w:b/>
          <w:i/>
        </w:rPr>
        <w:lastRenderedPageBreak/>
        <w:t>“Primero.</w:t>
      </w:r>
      <w:r w:rsidRPr="00767D06">
        <w:rPr>
          <w:rFonts w:ascii="Palatino Linotype" w:hAnsi="Palatino Linotype" w:cs="Arial"/>
          <w:i/>
        </w:rPr>
        <w:t xml:space="preserve"> Los presentes lineamientos tienen por objeto </w:t>
      </w:r>
      <w:r w:rsidRPr="00767D06">
        <w:rPr>
          <w:rFonts w:ascii="Palatino Linotype" w:hAnsi="Palatino Linotype" w:cs="Arial"/>
          <w:i/>
          <w:u w:val="single"/>
        </w:rPr>
        <w:t>establecer las políticas y criterios para la sistematización y digitalización</w:t>
      </w:r>
      <w:r w:rsidRPr="00767D06">
        <w:rPr>
          <w:rFonts w:ascii="Palatino Linotype" w:hAnsi="Palatino Linotype" w:cs="Arial"/>
          <w:i/>
        </w:rPr>
        <w:t xml:space="preserve">, así como para la custodia y conservación </w:t>
      </w:r>
      <w:r w:rsidRPr="00767D06">
        <w:rPr>
          <w:rFonts w:ascii="Palatino Linotype" w:hAnsi="Palatino Linotype" w:cs="Arial"/>
          <w:i/>
          <w:u w:val="single"/>
        </w:rPr>
        <w:t>de los archivos en posesión de los sujetos obligados</w:t>
      </w:r>
      <w:r w:rsidRPr="00767D06">
        <w:rPr>
          <w:rFonts w:ascii="Palatino Linotype" w:hAnsi="Palatino Linotype" w:cs="Arial"/>
          <w:i/>
        </w:rPr>
        <w:t xml:space="preserve">, </w:t>
      </w:r>
      <w:r w:rsidRPr="00767D06">
        <w:rPr>
          <w:rFonts w:ascii="Palatino Linotype" w:hAnsi="Palatino Linotype" w:cs="Arial"/>
          <w:i/>
          <w:u w:val="single"/>
        </w:rPr>
        <w:t>con la finalidad de garantizar la disponibilidad</w:t>
      </w:r>
      <w:r w:rsidRPr="00767D06">
        <w:rPr>
          <w:rFonts w:ascii="Palatino Linotype" w:hAnsi="Palatino Linotype" w:cs="Arial"/>
          <w:i/>
        </w:rPr>
        <w:t>, la localización eficiente de la información generada, obtenida, adquirida, transformada y contar con sistemas de información, ágiles y eficientes.</w:t>
      </w:r>
      <w:r w:rsidR="00702C2E" w:rsidRPr="00767D06">
        <w:rPr>
          <w:rFonts w:ascii="Palatino Linotype" w:hAnsi="Palatino Linotype" w:cs="Arial"/>
          <w:i/>
        </w:rPr>
        <w:t>”</w:t>
      </w:r>
    </w:p>
    <w:p w:rsidR="00702C2E" w:rsidRPr="00767D06" w:rsidRDefault="00702C2E" w:rsidP="003E1237">
      <w:pPr>
        <w:spacing w:after="0" w:line="360" w:lineRule="auto"/>
        <w:ind w:left="851" w:right="851"/>
        <w:jc w:val="both"/>
        <w:rPr>
          <w:rFonts w:ascii="Palatino Linotype" w:hAnsi="Palatino Linotype" w:cs="Arial"/>
          <w:i/>
        </w:rPr>
      </w:pPr>
      <w:r w:rsidRPr="00767D06">
        <w:rPr>
          <w:rFonts w:ascii="Palatino Linotype" w:hAnsi="Palatino Linotype" w:cs="Arial"/>
          <w:i/>
        </w:rPr>
        <w:t>(Énfasis añadido)</w:t>
      </w:r>
    </w:p>
    <w:p w:rsidR="009D4E1B" w:rsidRPr="009D4E1B" w:rsidRDefault="007342BD" w:rsidP="009D4E1B">
      <w:pPr>
        <w:pStyle w:val="Prrafodelista"/>
        <w:numPr>
          <w:ilvl w:val="0"/>
          <w:numId w:val="2"/>
        </w:numPr>
        <w:spacing w:before="240" w:beforeAutospacing="1" w:after="240" w:afterAutospacing="1" w:line="360" w:lineRule="auto"/>
        <w:ind w:left="284" w:right="49"/>
        <w:jc w:val="both"/>
        <w:rPr>
          <w:rFonts w:ascii="Palatino Linotype" w:hAnsi="Palatino Linotype"/>
          <w:i/>
          <w:iCs/>
          <w:sz w:val="20"/>
        </w:rPr>
      </w:pPr>
      <w:r w:rsidRPr="00485F43">
        <w:rPr>
          <w:rFonts w:ascii="Palatino Linotype" w:hAnsi="Palatino Linotype" w:cs="Arial"/>
          <w:sz w:val="24"/>
          <w:szCs w:val="24"/>
        </w:rPr>
        <w:t xml:space="preserve">En </w:t>
      </w:r>
      <w:r w:rsidRPr="00AA2897">
        <w:rPr>
          <w:rFonts w:ascii="Palatino Linotype" w:hAnsi="Palatino Linotype" w:cs="Arial"/>
          <w:sz w:val="24"/>
          <w:szCs w:val="24"/>
        </w:rPr>
        <w:t>armonía</w:t>
      </w:r>
      <w:r w:rsidRPr="00485F43">
        <w:rPr>
          <w:rFonts w:ascii="Palatino Linotype" w:hAnsi="Palatino Linotype" w:cs="Arial"/>
          <w:sz w:val="24"/>
          <w:szCs w:val="24"/>
        </w:rPr>
        <w:t xml:space="preserve"> con lo anterior se está ante la evidente vulneración del derecho humano de acceso a la información pública, prerrogativa elevada a rango de derecho humano, protegido no solamente por los ordenamientos jurídicos locales y nacionales, sino también internacionales, que debe ser satisfecho en todo momento como una función esencial y primordial del Estado como ente garante de los derechos humanos</w:t>
      </w:r>
      <w:r w:rsidR="00DA35D8">
        <w:rPr>
          <w:rFonts w:ascii="Palatino Linotype" w:hAnsi="Palatino Linotype" w:cs="Arial"/>
          <w:sz w:val="24"/>
          <w:szCs w:val="24"/>
        </w:rPr>
        <w:t>.</w:t>
      </w:r>
    </w:p>
    <w:p w:rsidR="009D4E1B" w:rsidRPr="009D4E1B" w:rsidRDefault="009D4E1B" w:rsidP="009D4E1B">
      <w:pPr>
        <w:pStyle w:val="Prrafodelista"/>
        <w:spacing w:before="240" w:beforeAutospacing="1" w:after="240" w:afterAutospacing="1" w:line="360" w:lineRule="auto"/>
        <w:ind w:left="284" w:right="49"/>
        <w:jc w:val="both"/>
        <w:rPr>
          <w:rFonts w:ascii="Palatino Linotype" w:hAnsi="Palatino Linotype"/>
          <w:i/>
          <w:iCs/>
          <w:sz w:val="20"/>
        </w:rPr>
      </w:pPr>
    </w:p>
    <w:p w:rsidR="009D4E1B" w:rsidRPr="001D22B5" w:rsidRDefault="009D4E1B" w:rsidP="00792EE5">
      <w:pPr>
        <w:pStyle w:val="Prrafodelista"/>
        <w:numPr>
          <w:ilvl w:val="0"/>
          <w:numId w:val="2"/>
        </w:numPr>
        <w:spacing w:before="240" w:beforeAutospacing="1" w:after="240" w:afterAutospacing="1" w:line="360" w:lineRule="auto"/>
        <w:ind w:left="284" w:right="49"/>
        <w:jc w:val="both"/>
        <w:rPr>
          <w:rFonts w:ascii="Palatino Linotype" w:hAnsi="Palatino Linotype"/>
          <w:i/>
          <w:iCs/>
          <w:sz w:val="20"/>
        </w:rPr>
      </w:pPr>
      <w:r w:rsidRPr="001B7DD6">
        <w:rPr>
          <w:rFonts w:ascii="Palatino Linotype" w:hAnsi="Palatino Linotype" w:cs="Arial"/>
          <w:sz w:val="24"/>
          <w:szCs w:val="24"/>
        </w:rPr>
        <w:t xml:space="preserve">Además, es importante señalar que el </w:t>
      </w:r>
      <w:r w:rsidR="001B7DD6" w:rsidRPr="001B7DD6">
        <w:rPr>
          <w:rFonts w:ascii="Palatino Linotype" w:hAnsi="Palatino Linotype" w:cs="Arial"/>
          <w:sz w:val="24"/>
          <w:szCs w:val="24"/>
        </w:rPr>
        <w:t>particular</w:t>
      </w:r>
      <w:r w:rsidRPr="001B7DD6">
        <w:rPr>
          <w:rFonts w:ascii="Palatino Linotype" w:hAnsi="Palatino Linotype" w:cs="Arial"/>
          <w:sz w:val="24"/>
          <w:szCs w:val="24"/>
        </w:rPr>
        <w:t xml:space="preserve"> especific</w:t>
      </w:r>
      <w:r w:rsidR="001B7DD6" w:rsidRPr="001B7DD6">
        <w:rPr>
          <w:rFonts w:ascii="Palatino Linotype" w:hAnsi="Palatino Linotype" w:cs="Arial"/>
          <w:sz w:val="24"/>
          <w:szCs w:val="24"/>
        </w:rPr>
        <w:t>ó de</w:t>
      </w:r>
      <w:r w:rsidRPr="001B7DD6">
        <w:rPr>
          <w:rFonts w:ascii="Palatino Linotype" w:hAnsi="Palatino Linotype" w:cs="Arial"/>
          <w:sz w:val="24"/>
          <w:szCs w:val="24"/>
        </w:rPr>
        <w:t xml:space="preserve"> los delitos que requiere la </w:t>
      </w:r>
      <w:r w:rsidR="001B7DD6" w:rsidRPr="001B7DD6">
        <w:rPr>
          <w:rFonts w:ascii="Palatino Linotype" w:hAnsi="Palatino Linotype" w:cs="Arial"/>
          <w:sz w:val="24"/>
          <w:szCs w:val="24"/>
        </w:rPr>
        <w:t>información</w:t>
      </w:r>
      <w:r w:rsidRPr="001B7DD6">
        <w:rPr>
          <w:rFonts w:ascii="Palatino Linotype" w:hAnsi="Palatino Linotype" w:cs="Arial"/>
          <w:sz w:val="24"/>
          <w:szCs w:val="24"/>
        </w:rPr>
        <w:t xml:space="preserve">, </w:t>
      </w:r>
      <w:r w:rsidR="001B7DD6" w:rsidRPr="001B7DD6">
        <w:rPr>
          <w:rFonts w:ascii="Palatino Linotype" w:hAnsi="Palatino Linotype" w:cs="Arial"/>
          <w:sz w:val="24"/>
          <w:szCs w:val="24"/>
        </w:rPr>
        <w:t>información</w:t>
      </w:r>
      <w:r w:rsidRPr="001B7DD6">
        <w:rPr>
          <w:rFonts w:ascii="Palatino Linotype" w:hAnsi="Palatino Linotype" w:cs="Arial"/>
          <w:sz w:val="24"/>
          <w:szCs w:val="24"/>
        </w:rPr>
        <w:t xml:space="preserve"> que obra en los archivos del </w:t>
      </w:r>
      <w:r w:rsidR="001B7DD6" w:rsidRPr="001B7DD6">
        <w:rPr>
          <w:rFonts w:ascii="Palatino Linotype" w:hAnsi="Palatino Linotype" w:cs="Arial"/>
          <w:sz w:val="24"/>
          <w:szCs w:val="24"/>
        </w:rPr>
        <w:t xml:space="preserve">Sujeto </w:t>
      </w:r>
      <w:r w:rsidRPr="001B7DD6">
        <w:rPr>
          <w:rFonts w:ascii="Palatino Linotype" w:hAnsi="Palatino Linotype" w:cs="Arial"/>
          <w:sz w:val="24"/>
          <w:szCs w:val="24"/>
        </w:rPr>
        <w:t>Obligado al contar</w:t>
      </w:r>
      <w:r w:rsidR="001B7DD6" w:rsidRPr="001B7DD6">
        <w:rPr>
          <w:rFonts w:ascii="Palatino Linotype" w:hAnsi="Palatino Linotype" w:cs="Arial"/>
          <w:sz w:val="24"/>
          <w:szCs w:val="24"/>
        </w:rPr>
        <w:t xml:space="preserve"> </w:t>
      </w:r>
      <w:r w:rsidRPr="001B7DD6">
        <w:rPr>
          <w:rFonts w:ascii="Palatino Linotype" w:hAnsi="Palatino Linotype" w:cs="Arial"/>
          <w:sz w:val="24"/>
          <w:szCs w:val="24"/>
        </w:rPr>
        <w:t xml:space="preserve">con </w:t>
      </w:r>
      <w:r w:rsidR="001B7DD6" w:rsidRPr="001B7DD6">
        <w:rPr>
          <w:rFonts w:ascii="Palatino Linotype" w:hAnsi="Palatino Linotype" w:cs="Arial"/>
          <w:sz w:val="24"/>
          <w:szCs w:val="24"/>
        </w:rPr>
        <w:t xml:space="preserve">Fiscalías Especializadas que </w:t>
      </w:r>
      <w:r w:rsidRPr="001B7DD6">
        <w:rPr>
          <w:rFonts w:ascii="Palatino Linotype" w:hAnsi="Palatino Linotype" w:cs="Arial"/>
          <w:sz w:val="24"/>
          <w:szCs w:val="24"/>
        </w:rPr>
        <w:t>tiene</w:t>
      </w:r>
      <w:r w:rsidR="001B7DD6" w:rsidRPr="001B7DD6">
        <w:rPr>
          <w:rFonts w:ascii="Palatino Linotype" w:hAnsi="Palatino Linotype" w:cs="Arial"/>
          <w:sz w:val="24"/>
          <w:szCs w:val="24"/>
        </w:rPr>
        <w:t>n</w:t>
      </w:r>
      <w:r w:rsidRPr="001B7DD6">
        <w:rPr>
          <w:rFonts w:ascii="Palatino Linotype" w:hAnsi="Palatino Linotype" w:cs="Arial"/>
          <w:sz w:val="24"/>
          <w:szCs w:val="24"/>
        </w:rPr>
        <w:t xml:space="preserve"> como objetivo </w:t>
      </w:r>
      <w:r w:rsidR="001B7DD6" w:rsidRPr="001B7DD6">
        <w:rPr>
          <w:rFonts w:ascii="Palatino Linotype" w:hAnsi="Palatino Linotype" w:cs="Arial"/>
          <w:sz w:val="24"/>
          <w:szCs w:val="24"/>
        </w:rPr>
        <w:t xml:space="preserve">investigación y persecución de delitos que por su complejidad, mayor impacto social, características peculiares o incidencia en el territorio del Estado (sistema de especialización) y por aquellas fiscalías regionales  que tienen por objeto  la investigación y persecución de delitos, distintos a los que se determinen o califiquen como de atención especializada, se lleven a cabo en la región donde </w:t>
      </w:r>
      <w:r w:rsidR="001B7DD6" w:rsidRPr="001B7DD6">
        <w:rPr>
          <w:rFonts w:ascii="Palatino Linotype" w:hAnsi="Palatino Linotype" w:cs="Arial"/>
          <w:sz w:val="24"/>
          <w:szCs w:val="24"/>
        </w:rPr>
        <w:lastRenderedPageBreak/>
        <w:t xml:space="preserve">tenga lugar el delito y auxiliar a las Fiscalías Especializadas (sistema de </w:t>
      </w:r>
      <w:r w:rsidRPr="001B7DD6">
        <w:rPr>
          <w:rFonts w:ascii="Palatino Linotype" w:hAnsi="Palatino Linotype" w:cs="Arial"/>
          <w:sz w:val="24"/>
          <w:szCs w:val="24"/>
        </w:rPr>
        <w:t>y organización territorial</w:t>
      </w:r>
      <w:r w:rsidR="001B7DD6" w:rsidRPr="001B7DD6">
        <w:rPr>
          <w:rFonts w:ascii="Palatino Linotype" w:hAnsi="Palatino Linotype" w:cs="Arial"/>
          <w:sz w:val="24"/>
          <w:szCs w:val="24"/>
        </w:rPr>
        <w:t>)</w:t>
      </w:r>
      <w:r w:rsidR="001B7DD6" w:rsidRPr="001B7DD6">
        <w:rPr>
          <w:rFonts w:ascii="Palatino Linotype" w:hAnsi="Palatino Linotype"/>
          <w:i/>
          <w:u w:val="single"/>
        </w:rPr>
        <w:t xml:space="preserve"> </w:t>
      </w:r>
    </w:p>
    <w:p w:rsidR="001D22B5" w:rsidRPr="001D22B5" w:rsidRDefault="001D22B5" w:rsidP="001D22B5">
      <w:pPr>
        <w:pStyle w:val="Prrafodelista"/>
        <w:rPr>
          <w:rFonts w:ascii="Palatino Linotype" w:hAnsi="Palatino Linotype"/>
          <w:i/>
          <w:iCs/>
          <w:sz w:val="20"/>
        </w:rPr>
      </w:pPr>
    </w:p>
    <w:p w:rsidR="0008096C" w:rsidRPr="0008096C" w:rsidRDefault="001D22B5" w:rsidP="004C08D6">
      <w:pPr>
        <w:pStyle w:val="Prrafodelista"/>
        <w:numPr>
          <w:ilvl w:val="0"/>
          <w:numId w:val="2"/>
        </w:numPr>
        <w:spacing w:before="240" w:beforeAutospacing="1" w:after="240" w:afterAutospacing="1" w:line="360" w:lineRule="auto"/>
        <w:ind w:left="284" w:right="49"/>
        <w:jc w:val="both"/>
        <w:rPr>
          <w:rFonts w:ascii="Palatino Linotype" w:hAnsi="Palatino Linotype" w:cs="Arial"/>
          <w:sz w:val="24"/>
          <w:szCs w:val="24"/>
        </w:rPr>
      </w:pPr>
      <w:r w:rsidRPr="0008096C">
        <w:rPr>
          <w:rFonts w:ascii="Palatino Linotype" w:hAnsi="Palatino Linotype" w:cs="Arial"/>
          <w:sz w:val="24"/>
          <w:szCs w:val="24"/>
        </w:rPr>
        <w:t xml:space="preserve">Ahora bien, respecto a la </w:t>
      </w:r>
      <w:r w:rsidR="007E2F82" w:rsidRPr="0008096C">
        <w:rPr>
          <w:rFonts w:ascii="Palatino Linotype" w:hAnsi="Palatino Linotype" w:cs="Arial"/>
          <w:sz w:val="24"/>
          <w:szCs w:val="24"/>
        </w:rPr>
        <w:t>información</w:t>
      </w:r>
      <w:r w:rsidRPr="0008096C">
        <w:rPr>
          <w:rFonts w:ascii="Palatino Linotype" w:hAnsi="Palatino Linotype" w:cs="Arial"/>
          <w:sz w:val="24"/>
          <w:szCs w:val="24"/>
        </w:rPr>
        <w:t xml:space="preserve"> solicitada de</w:t>
      </w:r>
      <w:r w:rsidR="007E2F82" w:rsidRPr="0008096C">
        <w:rPr>
          <w:rFonts w:ascii="Palatino Linotype" w:hAnsi="Palatino Linotype" w:cs="Arial"/>
          <w:sz w:val="24"/>
          <w:szCs w:val="24"/>
        </w:rPr>
        <w:t xml:space="preserve"> “</w:t>
      </w:r>
      <w:proofErr w:type="spellStart"/>
      <w:r w:rsidRPr="0008096C">
        <w:rPr>
          <w:rFonts w:ascii="Palatino Linotype" w:hAnsi="Palatino Linotype" w:cs="Arial"/>
          <w:sz w:val="24"/>
          <w:szCs w:val="24"/>
        </w:rPr>
        <w:t>Neza</w:t>
      </w:r>
      <w:proofErr w:type="spellEnd"/>
      <w:r w:rsidRPr="0008096C">
        <w:rPr>
          <w:rFonts w:ascii="Palatino Linotype" w:hAnsi="Palatino Linotype" w:cs="Arial"/>
          <w:sz w:val="24"/>
          <w:szCs w:val="24"/>
        </w:rPr>
        <w:t>-Palacio; La Perla y Campestre-la Bola</w:t>
      </w:r>
      <w:r w:rsidR="007E2F82" w:rsidRPr="0008096C">
        <w:rPr>
          <w:rFonts w:ascii="Palatino Linotype" w:hAnsi="Palatino Linotype" w:cs="Arial"/>
          <w:sz w:val="24"/>
          <w:szCs w:val="24"/>
        </w:rPr>
        <w:t xml:space="preserve">”, </w:t>
      </w:r>
      <w:r w:rsidR="00B52CBB">
        <w:rPr>
          <w:rFonts w:ascii="Palatino Linotype" w:hAnsi="Palatino Linotype" w:cs="Arial"/>
          <w:sz w:val="24"/>
          <w:szCs w:val="24"/>
        </w:rPr>
        <w:t xml:space="preserve">es importante señalar </w:t>
      </w:r>
      <w:r w:rsidR="00726927" w:rsidRPr="0008096C">
        <w:rPr>
          <w:rFonts w:ascii="Palatino Linotype" w:hAnsi="Palatino Linotype" w:cs="Arial"/>
          <w:sz w:val="24"/>
          <w:szCs w:val="24"/>
        </w:rPr>
        <w:t>que lo</w:t>
      </w:r>
      <w:r w:rsidR="00B52CBB">
        <w:rPr>
          <w:rFonts w:ascii="Palatino Linotype" w:hAnsi="Palatino Linotype" w:cs="Arial"/>
          <w:sz w:val="24"/>
          <w:szCs w:val="24"/>
        </w:rPr>
        <w:t>s</w:t>
      </w:r>
      <w:r w:rsidR="00726927" w:rsidRPr="0008096C">
        <w:rPr>
          <w:rFonts w:ascii="Palatino Linotype" w:hAnsi="Palatino Linotype" w:cs="Arial"/>
          <w:sz w:val="24"/>
          <w:szCs w:val="24"/>
        </w:rPr>
        <w:t xml:space="preserve"> particulares no son expertos en la materia, el Pleno de este Instituto aplicando en favor del recurrente la suplencia de la queja</w:t>
      </w:r>
      <w:r w:rsidR="007E2E81">
        <w:rPr>
          <w:rStyle w:val="Refdenotaalpie"/>
          <w:rFonts w:ascii="Palatino Linotype" w:hAnsi="Palatino Linotype" w:cs="Arial"/>
          <w:sz w:val="24"/>
          <w:szCs w:val="24"/>
        </w:rPr>
        <w:footnoteReference w:id="5"/>
      </w:r>
      <w:r w:rsidR="00726927" w:rsidRPr="0008096C">
        <w:rPr>
          <w:rFonts w:ascii="Palatino Linotype" w:hAnsi="Palatino Linotype" w:cs="Arial"/>
          <w:sz w:val="24"/>
          <w:szCs w:val="24"/>
        </w:rPr>
        <w:t xml:space="preserve"> prevista en los artículos 13 y 181 de la Ley de Transparencia y Acceso a la Información Pública del Estado de México y Municipios considera que lo que el part</w:t>
      </w:r>
      <w:r w:rsidR="0008096C" w:rsidRPr="0008096C">
        <w:rPr>
          <w:rFonts w:ascii="Palatino Linotype" w:hAnsi="Palatino Linotype" w:cs="Arial"/>
          <w:sz w:val="24"/>
          <w:szCs w:val="24"/>
        </w:rPr>
        <w:t>icular solicito corresponden a los centros de justicia y agencias del ministerio público ubicados  en el municipio</w:t>
      </w:r>
      <w:r w:rsidR="00505CB5" w:rsidRPr="0008096C">
        <w:rPr>
          <w:rFonts w:ascii="Palatino Linotype" w:hAnsi="Palatino Linotype" w:cs="Arial"/>
          <w:sz w:val="24"/>
          <w:szCs w:val="24"/>
        </w:rPr>
        <w:t xml:space="preserve"> </w:t>
      </w:r>
      <w:r w:rsidR="0008096C" w:rsidRPr="0008096C">
        <w:rPr>
          <w:rFonts w:ascii="Palatino Linotype" w:hAnsi="Palatino Linotype" w:cs="Arial"/>
          <w:sz w:val="24"/>
          <w:szCs w:val="24"/>
        </w:rPr>
        <w:t xml:space="preserve">de </w:t>
      </w:r>
      <w:r w:rsidR="00505CB5" w:rsidRPr="0008096C">
        <w:rPr>
          <w:rFonts w:ascii="Palatino Linotype" w:hAnsi="Palatino Linotype" w:cs="Arial"/>
          <w:sz w:val="24"/>
          <w:szCs w:val="24"/>
        </w:rPr>
        <w:t xml:space="preserve">Nezahualcóyotl, </w:t>
      </w:r>
      <w:r w:rsidR="0008096C" w:rsidRPr="0008096C">
        <w:rPr>
          <w:rFonts w:ascii="Palatino Linotype" w:hAnsi="Palatino Linotype" w:cs="Arial"/>
          <w:sz w:val="24"/>
          <w:szCs w:val="24"/>
        </w:rPr>
        <w:t>tal y como la página oficial del Sujeto Obligado</w:t>
      </w:r>
      <w:r w:rsidR="0008096C">
        <w:rPr>
          <w:rStyle w:val="Refdenotaalpie"/>
          <w:rFonts w:ascii="Palatino Linotype" w:hAnsi="Palatino Linotype" w:cs="Arial"/>
          <w:sz w:val="24"/>
          <w:szCs w:val="24"/>
        </w:rPr>
        <w:footnoteReference w:id="6"/>
      </w:r>
      <w:r w:rsidR="0008096C" w:rsidRPr="0008096C">
        <w:rPr>
          <w:rFonts w:ascii="Palatino Linotype" w:hAnsi="Palatino Linotype" w:cs="Arial"/>
          <w:sz w:val="24"/>
          <w:szCs w:val="24"/>
        </w:rPr>
        <w:t xml:space="preserve"> lo señala: </w:t>
      </w:r>
    </w:p>
    <w:p w:rsidR="0008096C" w:rsidRDefault="0008096C" w:rsidP="007E2E81">
      <w:pPr>
        <w:pStyle w:val="Prrafodelista"/>
        <w:spacing w:before="240" w:beforeAutospacing="1" w:after="240" w:afterAutospacing="1" w:line="360" w:lineRule="auto"/>
        <w:ind w:left="284" w:right="49"/>
        <w:jc w:val="center"/>
        <w:rPr>
          <w:rFonts w:ascii="Palatino Linotype" w:hAnsi="Palatino Linotype" w:cs="Arial"/>
          <w:sz w:val="24"/>
          <w:szCs w:val="24"/>
        </w:rPr>
      </w:pPr>
      <w:r>
        <w:rPr>
          <w:noProof/>
          <w:lang w:eastAsia="es-MX"/>
        </w:rPr>
        <w:lastRenderedPageBreak/>
        <w:drawing>
          <wp:inline distT="0" distB="0" distL="0" distR="0" wp14:anchorId="062703DB" wp14:editId="4ABD7363">
            <wp:extent cx="4131128" cy="1594714"/>
            <wp:effectExtent l="0" t="0" r="317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885" t="17709" r="31051" b="55484"/>
                    <a:stretch/>
                  </pic:blipFill>
                  <pic:spPr bwMode="auto">
                    <a:xfrm>
                      <a:off x="0" y="0"/>
                      <a:ext cx="4192268" cy="1618315"/>
                    </a:xfrm>
                    <a:prstGeom prst="rect">
                      <a:avLst/>
                    </a:prstGeom>
                    <a:ln>
                      <a:noFill/>
                    </a:ln>
                    <a:extLst>
                      <a:ext uri="{53640926-AAD7-44D8-BBD7-CCE9431645EC}">
                        <a14:shadowObscured xmlns:a14="http://schemas.microsoft.com/office/drawing/2010/main"/>
                      </a:ext>
                    </a:extLst>
                  </pic:spPr>
                </pic:pic>
              </a:graphicData>
            </a:graphic>
          </wp:inline>
        </w:drawing>
      </w:r>
    </w:p>
    <w:p w:rsidR="00726927" w:rsidRDefault="0008096C" w:rsidP="007E2E81">
      <w:pPr>
        <w:pStyle w:val="Prrafodelista"/>
        <w:ind w:left="284"/>
        <w:jc w:val="center"/>
        <w:rPr>
          <w:rFonts w:ascii="Palatino Linotype" w:hAnsi="Palatino Linotype" w:cs="Arial"/>
          <w:sz w:val="24"/>
          <w:szCs w:val="24"/>
        </w:rPr>
      </w:pPr>
      <w:r>
        <w:rPr>
          <w:noProof/>
          <w:lang w:eastAsia="es-MX"/>
        </w:rPr>
        <w:drawing>
          <wp:inline distT="0" distB="0" distL="0" distR="0" wp14:anchorId="54D07F80" wp14:editId="5DB82FFC">
            <wp:extent cx="4184295" cy="40195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885" t="52908" r="31051" b="39878"/>
                    <a:stretch/>
                  </pic:blipFill>
                  <pic:spPr bwMode="auto">
                    <a:xfrm>
                      <a:off x="0" y="0"/>
                      <a:ext cx="4320633" cy="415052"/>
                    </a:xfrm>
                    <a:prstGeom prst="rect">
                      <a:avLst/>
                    </a:prstGeom>
                    <a:ln>
                      <a:noFill/>
                    </a:ln>
                    <a:extLst>
                      <a:ext uri="{53640926-AAD7-44D8-BBD7-CCE9431645EC}">
                        <a14:shadowObscured xmlns:a14="http://schemas.microsoft.com/office/drawing/2010/main"/>
                      </a:ext>
                    </a:extLst>
                  </pic:spPr>
                </pic:pic>
              </a:graphicData>
            </a:graphic>
          </wp:inline>
        </w:drawing>
      </w:r>
    </w:p>
    <w:p w:rsidR="007E2E81" w:rsidRPr="00726927" w:rsidRDefault="007E2E81" w:rsidP="007E2E81">
      <w:pPr>
        <w:pStyle w:val="Prrafodelista"/>
        <w:ind w:left="284"/>
        <w:jc w:val="center"/>
        <w:rPr>
          <w:rFonts w:ascii="Palatino Linotype" w:hAnsi="Palatino Linotype" w:cs="Arial"/>
          <w:sz w:val="24"/>
          <w:szCs w:val="24"/>
        </w:rPr>
      </w:pPr>
    </w:p>
    <w:p w:rsidR="00287AF2" w:rsidRPr="00287AF2" w:rsidRDefault="007E2E81" w:rsidP="007E2E81">
      <w:pPr>
        <w:pStyle w:val="Prrafodelista"/>
        <w:numPr>
          <w:ilvl w:val="0"/>
          <w:numId w:val="2"/>
        </w:numPr>
        <w:spacing w:before="240" w:beforeAutospacing="1" w:after="240" w:afterAutospacing="1" w:line="360" w:lineRule="auto"/>
        <w:ind w:left="284" w:right="49"/>
        <w:jc w:val="both"/>
        <w:rPr>
          <w:rFonts w:ascii="Palatino Linotype" w:hAnsi="Palatino Linotype" w:cs="Arial"/>
          <w:bCs/>
          <w:sz w:val="24"/>
          <w:szCs w:val="24"/>
        </w:rPr>
      </w:pPr>
      <w:r>
        <w:rPr>
          <w:rFonts w:ascii="Palatino Linotype" w:hAnsi="Palatino Linotype" w:cs="Arial"/>
          <w:sz w:val="24"/>
          <w:szCs w:val="24"/>
        </w:rPr>
        <w:t>Por otro lado, e</w:t>
      </w:r>
      <w:r w:rsidR="001D22B5">
        <w:rPr>
          <w:rFonts w:ascii="Palatino Linotype" w:hAnsi="Palatino Linotype" w:cs="Arial"/>
          <w:sz w:val="24"/>
          <w:szCs w:val="24"/>
        </w:rPr>
        <w:t xml:space="preserve">s de </w:t>
      </w:r>
      <w:r w:rsidR="00FF161E" w:rsidRPr="00287AF2">
        <w:rPr>
          <w:rFonts w:ascii="Palatino Linotype" w:hAnsi="Palatino Linotype" w:cs="Arial"/>
          <w:sz w:val="24"/>
          <w:szCs w:val="24"/>
        </w:rPr>
        <w:t xml:space="preserve"> </w:t>
      </w:r>
      <w:r w:rsidR="006D7DEC" w:rsidRPr="00287AF2">
        <w:rPr>
          <w:rFonts w:ascii="Palatino Linotype" w:hAnsi="Palatino Linotype" w:cs="Arial"/>
          <w:sz w:val="24"/>
          <w:szCs w:val="24"/>
        </w:rPr>
        <w:t>precisar</w:t>
      </w:r>
      <w:r w:rsidR="001D22B5">
        <w:rPr>
          <w:rFonts w:ascii="Palatino Linotype" w:hAnsi="Palatino Linotype" w:cs="Arial"/>
          <w:sz w:val="24"/>
          <w:szCs w:val="24"/>
        </w:rPr>
        <w:t>se</w:t>
      </w:r>
      <w:r w:rsidR="006D7DEC" w:rsidRPr="00287AF2">
        <w:rPr>
          <w:rFonts w:ascii="Palatino Linotype" w:hAnsi="Palatino Linotype" w:cs="Arial"/>
          <w:sz w:val="24"/>
          <w:szCs w:val="24"/>
        </w:rPr>
        <w:t xml:space="preserve"> que el</w:t>
      </w:r>
      <w:r w:rsidR="00287AF2">
        <w:rPr>
          <w:rFonts w:ascii="Palatino Linotype" w:hAnsi="Palatino Linotype" w:cs="Arial"/>
          <w:sz w:val="24"/>
          <w:szCs w:val="24"/>
        </w:rPr>
        <w:t xml:space="preserve"> ahora recurrente</w:t>
      </w:r>
      <w:r w:rsidR="00287AF2" w:rsidRPr="00287AF2">
        <w:rPr>
          <w:rFonts w:ascii="Palatino Linotype" w:hAnsi="Palatino Linotype" w:cs="Arial"/>
          <w:b/>
          <w:bCs/>
          <w:sz w:val="24"/>
          <w:szCs w:val="24"/>
        </w:rPr>
        <w:t xml:space="preserve"> </w:t>
      </w:r>
      <w:r w:rsidR="00287AF2" w:rsidRPr="00287AF2">
        <w:rPr>
          <w:rFonts w:ascii="Palatino Linotype" w:hAnsi="Palatino Linotype" w:cs="Arial"/>
          <w:bCs/>
          <w:sz w:val="24"/>
          <w:szCs w:val="24"/>
        </w:rPr>
        <w:t xml:space="preserve">no desea acceder a un documento en específico, toda vez que únicamente desea conocer el número </w:t>
      </w:r>
      <w:r w:rsidR="00B52CBB">
        <w:rPr>
          <w:rFonts w:ascii="Palatino Linotype" w:hAnsi="Palatino Linotype" w:cs="Arial"/>
          <w:bCs/>
          <w:sz w:val="24"/>
          <w:szCs w:val="24"/>
        </w:rPr>
        <w:t xml:space="preserve"> o dicho de otro modo, la cantidad </w:t>
      </w:r>
      <w:r w:rsidR="00287AF2" w:rsidRPr="00287AF2">
        <w:rPr>
          <w:rFonts w:ascii="Palatino Linotype" w:eastAsia="Times New Roman" w:hAnsi="Palatino Linotype" w:cs="Arial"/>
          <w:sz w:val="24"/>
          <w:szCs w:val="24"/>
          <w:lang w:val="es-ES" w:eastAsia="es-MX"/>
        </w:rPr>
        <w:t xml:space="preserve">de NIC y de NUC </w:t>
      </w:r>
      <w:r w:rsidR="00287AF2">
        <w:rPr>
          <w:rFonts w:ascii="Palatino Linotype" w:eastAsia="Times New Roman" w:hAnsi="Palatino Linotype" w:cs="Arial"/>
          <w:sz w:val="24"/>
          <w:szCs w:val="24"/>
          <w:lang w:val="es-ES" w:eastAsia="es-MX"/>
        </w:rPr>
        <w:t>que</w:t>
      </w:r>
      <w:r w:rsidR="00287AF2" w:rsidRPr="00287AF2">
        <w:rPr>
          <w:rFonts w:ascii="Palatino Linotype" w:eastAsia="Times New Roman" w:hAnsi="Palatino Linotype" w:cs="Arial"/>
          <w:sz w:val="24"/>
          <w:szCs w:val="24"/>
          <w:lang w:val="es-ES" w:eastAsia="es-MX"/>
        </w:rPr>
        <w:t xml:space="preserve"> se iniciaron en los años 2016, 2017 y del 01 de enero  al 31 de mayo de 2018 de los delitos de: </w:t>
      </w:r>
      <w:r w:rsidR="006410B5">
        <w:rPr>
          <w:rFonts w:ascii="Palatino Linotype" w:eastAsia="Times New Roman" w:hAnsi="Palatino Linotype" w:cs="Arial"/>
          <w:sz w:val="24"/>
          <w:szCs w:val="24"/>
          <w:lang w:val="es-ES" w:eastAsia="es-MX"/>
        </w:rPr>
        <w:t>r</w:t>
      </w:r>
      <w:r w:rsidR="00287AF2" w:rsidRPr="00287AF2">
        <w:rPr>
          <w:rFonts w:ascii="Palatino Linotype" w:eastAsia="Times New Roman" w:hAnsi="Palatino Linotype" w:cs="Arial"/>
          <w:sz w:val="24"/>
          <w:szCs w:val="24"/>
          <w:lang w:val="es-ES" w:eastAsia="es-MX"/>
        </w:rPr>
        <w:t xml:space="preserve">obo a </w:t>
      </w:r>
      <w:r w:rsidR="006410B5">
        <w:rPr>
          <w:rFonts w:ascii="Palatino Linotype" w:eastAsia="Times New Roman" w:hAnsi="Palatino Linotype" w:cs="Arial"/>
          <w:sz w:val="24"/>
          <w:szCs w:val="24"/>
          <w:lang w:val="es-ES" w:eastAsia="es-MX"/>
        </w:rPr>
        <w:t>t</w:t>
      </w:r>
      <w:r w:rsidR="00287AF2" w:rsidRPr="00287AF2">
        <w:rPr>
          <w:rFonts w:ascii="Palatino Linotype" w:eastAsia="Times New Roman" w:hAnsi="Palatino Linotype" w:cs="Arial"/>
          <w:sz w:val="24"/>
          <w:szCs w:val="24"/>
          <w:lang w:val="es-ES" w:eastAsia="es-MX"/>
        </w:rPr>
        <w:t xml:space="preserve">ransporte </w:t>
      </w:r>
      <w:r w:rsidR="006410B5">
        <w:rPr>
          <w:rFonts w:ascii="Palatino Linotype" w:eastAsia="Times New Roman" w:hAnsi="Palatino Linotype" w:cs="Arial"/>
          <w:sz w:val="24"/>
          <w:szCs w:val="24"/>
          <w:lang w:val="es-ES" w:eastAsia="es-MX"/>
        </w:rPr>
        <w:t>p</w:t>
      </w:r>
      <w:r w:rsidR="00287AF2" w:rsidRPr="00287AF2">
        <w:rPr>
          <w:rFonts w:ascii="Palatino Linotype" w:eastAsia="Times New Roman" w:hAnsi="Palatino Linotype" w:cs="Arial"/>
          <w:sz w:val="24"/>
          <w:szCs w:val="24"/>
          <w:lang w:val="es-ES" w:eastAsia="es-MX"/>
        </w:rPr>
        <w:t>úblico</w:t>
      </w:r>
      <w:r w:rsidR="006410B5">
        <w:rPr>
          <w:rFonts w:ascii="Palatino Linotype" w:eastAsia="Times New Roman" w:hAnsi="Palatino Linotype" w:cs="Arial"/>
          <w:sz w:val="24"/>
          <w:szCs w:val="24"/>
          <w:lang w:val="es-ES" w:eastAsia="es-MX"/>
        </w:rPr>
        <w:t>, r</w:t>
      </w:r>
      <w:r w:rsidR="00287AF2" w:rsidRPr="00287AF2">
        <w:rPr>
          <w:rFonts w:ascii="Palatino Linotype" w:eastAsia="Times New Roman" w:hAnsi="Palatino Linotype" w:cs="Arial"/>
          <w:sz w:val="24"/>
          <w:szCs w:val="24"/>
          <w:lang w:val="es-ES" w:eastAsia="es-MX"/>
        </w:rPr>
        <w:t xml:space="preserve">obo a transeúnte </w:t>
      </w:r>
      <w:r w:rsidR="006410B5">
        <w:rPr>
          <w:rFonts w:ascii="Palatino Linotype" w:eastAsia="Times New Roman" w:hAnsi="Palatino Linotype" w:cs="Arial"/>
          <w:sz w:val="24"/>
          <w:szCs w:val="24"/>
          <w:lang w:val="es-ES" w:eastAsia="es-MX"/>
        </w:rPr>
        <w:t xml:space="preserve"> y r</w:t>
      </w:r>
      <w:r w:rsidR="00287AF2" w:rsidRPr="00287AF2">
        <w:rPr>
          <w:rFonts w:ascii="Palatino Linotype" w:eastAsia="Times New Roman" w:hAnsi="Palatino Linotype" w:cs="Arial"/>
          <w:sz w:val="24"/>
          <w:szCs w:val="24"/>
          <w:lang w:val="es-ES" w:eastAsia="es-MX"/>
        </w:rPr>
        <w:t>obo a casa habitación</w:t>
      </w:r>
      <w:r w:rsidR="00287AF2">
        <w:rPr>
          <w:rFonts w:ascii="Palatino Linotype" w:eastAsia="Times New Roman" w:hAnsi="Palatino Linotype" w:cs="Arial"/>
          <w:sz w:val="24"/>
          <w:szCs w:val="24"/>
          <w:lang w:val="es-ES" w:eastAsia="es-MX"/>
        </w:rPr>
        <w:t xml:space="preserve">; por lo que </w:t>
      </w:r>
      <w:r w:rsidR="00287AF2" w:rsidRPr="00287AF2">
        <w:rPr>
          <w:rFonts w:ascii="Palatino Linotype" w:eastAsia="Arial Unicode MS" w:hAnsi="Palatino Linotype" w:cs="Arial"/>
          <w:sz w:val="24"/>
          <w:szCs w:val="24"/>
        </w:rPr>
        <w:t>del análisis realizado a la solicitud los cuestionamientos realizados por el particular, este Órgano Garante advierte que se puede satisfacer la presente solicitud motivo del presente asunto, mediante la entrega de</w:t>
      </w:r>
      <w:r w:rsidR="00287AF2" w:rsidRPr="00287AF2">
        <w:rPr>
          <w:rFonts w:ascii="Palatino Linotype" w:hAnsi="Palatino Linotype" w:cs="Arial"/>
          <w:sz w:val="24"/>
          <w:szCs w:val="24"/>
        </w:rPr>
        <w:t xml:space="preserve"> expresiones documentales</w:t>
      </w:r>
      <w:r>
        <w:rPr>
          <w:rFonts w:ascii="Palatino Linotype" w:hAnsi="Palatino Linotype" w:cs="Arial"/>
          <w:sz w:val="24"/>
          <w:szCs w:val="24"/>
        </w:rPr>
        <w:t xml:space="preserve"> al conocer únicamente </w:t>
      </w:r>
      <w:r w:rsidRPr="00B52CBB">
        <w:rPr>
          <w:rFonts w:ascii="Palatino Linotype" w:hAnsi="Palatino Linotype" w:cs="Arial"/>
          <w:b/>
          <w:sz w:val="24"/>
          <w:szCs w:val="24"/>
          <w:u w:val="single"/>
        </w:rPr>
        <w:t xml:space="preserve">un </w:t>
      </w:r>
      <w:r w:rsidR="00B52CBB" w:rsidRPr="00B52CBB">
        <w:rPr>
          <w:rFonts w:ascii="Palatino Linotype" w:hAnsi="Palatino Linotype" w:cs="Arial"/>
          <w:b/>
          <w:sz w:val="24"/>
          <w:szCs w:val="24"/>
          <w:u w:val="single"/>
        </w:rPr>
        <w:t>número estadístico</w:t>
      </w:r>
      <w:r w:rsidR="00B52CBB">
        <w:rPr>
          <w:rFonts w:ascii="Palatino Linotype" w:hAnsi="Palatino Linotype" w:cs="Arial"/>
          <w:sz w:val="24"/>
          <w:szCs w:val="24"/>
        </w:rPr>
        <w:t>, no así un nú</w:t>
      </w:r>
      <w:r>
        <w:rPr>
          <w:rFonts w:ascii="Palatino Linotype" w:hAnsi="Palatino Linotype" w:cs="Arial"/>
          <w:sz w:val="24"/>
          <w:szCs w:val="24"/>
        </w:rPr>
        <w:t xml:space="preserve">mero </w:t>
      </w:r>
      <w:proofErr w:type="spellStart"/>
      <w:r>
        <w:rPr>
          <w:rFonts w:ascii="Palatino Linotype" w:hAnsi="Palatino Linotype" w:cs="Arial"/>
          <w:sz w:val="24"/>
          <w:szCs w:val="24"/>
        </w:rPr>
        <w:t>especifico</w:t>
      </w:r>
      <w:proofErr w:type="spellEnd"/>
      <w:r>
        <w:rPr>
          <w:rFonts w:ascii="Palatino Linotype" w:hAnsi="Palatino Linotype" w:cs="Arial"/>
          <w:sz w:val="24"/>
          <w:szCs w:val="24"/>
        </w:rPr>
        <w:t xml:space="preserve"> de NUC o NIC; l</w:t>
      </w:r>
      <w:r w:rsidR="00287AF2" w:rsidRPr="00287AF2">
        <w:rPr>
          <w:rFonts w:ascii="Palatino Linotype" w:hAnsi="Palatino Linotype" w:cs="Arial"/>
          <w:sz w:val="24"/>
          <w:szCs w:val="24"/>
        </w:rPr>
        <w:t xml:space="preserve">o anterior, tiene apoyo en el criterio 28/10 del entonces Instituto Federal de Acceso a la Información Pública </w:t>
      </w:r>
      <w:r w:rsidR="00287AF2" w:rsidRPr="00287AF2">
        <w:rPr>
          <w:rFonts w:ascii="Palatino Linotype" w:hAnsi="Palatino Linotype" w:cs="Arial"/>
          <w:bCs/>
          <w:sz w:val="24"/>
          <w:szCs w:val="24"/>
          <w:lang w:eastAsia="es-MX"/>
        </w:rPr>
        <w:t>y Protección de Datos Personales</w:t>
      </w:r>
      <w:r w:rsidR="00287AF2" w:rsidRPr="00287AF2">
        <w:rPr>
          <w:rStyle w:val="Refdenotaalpie"/>
          <w:rFonts w:ascii="Palatino Linotype" w:hAnsi="Palatino Linotype" w:cs="Arial"/>
          <w:sz w:val="24"/>
          <w:szCs w:val="24"/>
        </w:rPr>
        <w:t xml:space="preserve"> </w:t>
      </w:r>
      <w:r w:rsidR="00287AF2" w:rsidRPr="00AA03B4">
        <w:rPr>
          <w:rStyle w:val="Refdenotaalpie"/>
          <w:rFonts w:ascii="Palatino Linotype" w:hAnsi="Palatino Linotype" w:cs="Arial"/>
          <w:sz w:val="24"/>
          <w:szCs w:val="24"/>
        </w:rPr>
        <w:footnoteReference w:id="7"/>
      </w:r>
      <w:r w:rsidR="00287AF2" w:rsidRPr="00287AF2">
        <w:rPr>
          <w:rFonts w:ascii="Palatino Linotype" w:hAnsi="Palatino Linotype" w:cs="Arial"/>
          <w:sz w:val="24"/>
          <w:szCs w:val="24"/>
        </w:rPr>
        <w:t>, el cual menciona lo siguiente:</w:t>
      </w:r>
    </w:p>
    <w:p w:rsidR="00287AF2" w:rsidRPr="00AA03B4" w:rsidRDefault="00287AF2" w:rsidP="00287AF2">
      <w:pPr>
        <w:autoSpaceDE w:val="0"/>
        <w:autoSpaceDN w:val="0"/>
        <w:adjustRightInd w:val="0"/>
        <w:spacing w:after="0"/>
        <w:jc w:val="both"/>
        <w:rPr>
          <w:rFonts w:ascii="Palatino Linotype" w:hAnsi="Palatino Linotype" w:cs="Arial"/>
          <w:sz w:val="24"/>
          <w:szCs w:val="24"/>
        </w:rPr>
      </w:pPr>
    </w:p>
    <w:p w:rsidR="00287AF2" w:rsidRDefault="00287AF2" w:rsidP="00287AF2">
      <w:pPr>
        <w:spacing w:after="0"/>
        <w:ind w:left="567" w:right="567"/>
        <w:jc w:val="both"/>
        <w:rPr>
          <w:rFonts w:ascii="Palatino Linotype" w:hAnsi="Palatino Linotype" w:cs="Arial"/>
          <w:i/>
        </w:rPr>
      </w:pPr>
      <w:r w:rsidRPr="00450F98">
        <w:rPr>
          <w:rFonts w:ascii="Palatino Linotype" w:hAnsi="Palatino Linotype" w:cs="Arial"/>
          <w:i/>
        </w:rPr>
        <w:lastRenderedPageBreak/>
        <w:t>“</w:t>
      </w:r>
      <w:r w:rsidRPr="00450F98">
        <w:rPr>
          <w:rFonts w:ascii="Palatino Linotype" w:hAnsi="Palatino Linotype" w:cs="Arial"/>
          <w:b/>
          <w:i/>
        </w:rPr>
        <w:t>Cuando en una solicitud de información no se identifique un documento en específico, si ésta tiene una expresión documental, el sujeto obligado deberá entregar al particular el documento en específico</w:t>
      </w:r>
      <w:r w:rsidRPr="00450F98">
        <w:rPr>
          <w:rFonts w:ascii="Palatino Linotype" w:hAnsi="Palatino Linotype" w:cs="Arial"/>
          <w:i/>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w:t>
      </w:r>
      <w:r w:rsidRPr="00450F98">
        <w:rPr>
          <w:rFonts w:ascii="Palatino Linotype" w:hAnsi="Palatino Linotype" w:cs="Arial"/>
          <w:i/>
          <w:lang w:eastAsia="es-MX"/>
        </w:rPr>
        <w:t>elaboración</w:t>
      </w:r>
      <w:r w:rsidRPr="00450F98">
        <w:rPr>
          <w:rFonts w:ascii="Palatino Linotype" w:hAnsi="Palatino Linotype" w:cs="Arial"/>
          <w:i/>
        </w:rPr>
        <w:t xml:space="preserve">. </w:t>
      </w:r>
      <w:r w:rsidRPr="00450F98">
        <w:rPr>
          <w:rFonts w:ascii="Palatino Linotype" w:hAnsi="Palatino Linotype" w:cs="Arial"/>
          <w:i/>
          <w:u w:val="single"/>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450F98">
        <w:rPr>
          <w:rFonts w:ascii="Palatino Linotype" w:hAnsi="Palatino Linotype" w:cs="Arial"/>
          <w:i/>
        </w:rPr>
        <w:t xml:space="preserve"> Es decir, si la respuesta a la solicitud obra en algún documento en poder de la autoridad, pero el particular no hace referencia específica a tal documento, se deberá hacer entrega del mismo al solicitante.” (</w:t>
      </w:r>
      <w:proofErr w:type="gramStart"/>
      <w:r w:rsidRPr="00450F98">
        <w:rPr>
          <w:rFonts w:ascii="Palatino Linotype" w:hAnsi="Palatino Linotype" w:cs="Arial"/>
          <w:i/>
        </w:rPr>
        <w:t>sic</w:t>
      </w:r>
      <w:proofErr w:type="gramEnd"/>
      <w:r w:rsidRPr="00450F98">
        <w:rPr>
          <w:rFonts w:ascii="Palatino Linotype" w:hAnsi="Palatino Linotype" w:cs="Arial"/>
          <w:i/>
        </w:rPr>
        <w:t>)</w:t>
      </w:r>
    </w:p>
    <w:p w:rsidR="00287AF2" w:rsidRPr="00C13B45" w:rsidRDefault="00287AF2" w:rsidP="00287AF2">
      <w:pPr>
        <w:spacing w:after="0"/>
        <w:ind w:left="851" w:right="901"/>
        <w:jc w:val="right"/>
        <w:rPr>
          <w:rFonts w:ascii="Palatino Linotype" w:hAnsi="Palatino Linotype" w:cs="Arial"/>
          <w:i/>
        </w:rPr>
      </w:pPr>
      <w:r w:rsidRPr="00C13B45">
        <w:rPr>
          <w:rFonts w:ascii="Palatino Linotype" w:hAnsi="Palatino Linotype" w:cs="Arial"/>
          <w:i/>
        </w:rPr>
        <w:t>(Énfasis añadido)</w:t>
      </w:r>
    </w:p>
    <w:p w:rsidR="00FA4785" w:rsidRDefault="001D22B5" w:rsidP="00FA4785">
      <w:pPr>
        <w:pStyle w:val="Prrafodelista"/>
        <w:numPr>
          <w:ilvl w:val="0"/>
          <w:numId w:val="2"/>
        </w:numPr>
        <w:spacing w:before="240" w:beforeAutospacing="1" w:after="0" w:afterAutospacing="1" w:line="360" w:lineRule="auto"/>
        <w:ind w:left="284" w:right="49"/>
        <w:jc w:val="both"/>
        <w:rPr>
          <w:rFonts w:ascii="Palatino Linotype" w:eastAsia="Times New Roman" w:hAnsi="Palatino Linotype" w:cs="Arial"/>
          <w:sz w:val="24"/>
          <w:szCs w:val="24"/>
          <w:lang w:val="es-ES" w:eastAsia="es-ES"/>
        </w:rPr>
      </w:pPr>
      <w:r w:rsidRPr="00665BB2">
        <w:rPr>
          <w:rFonts w:ascii="Palatino Linotype" w:eastAsia="Times New Roman" w:hAnsi="Palatino Linotype" w:cs="Arial"/>
          <w:sz w:val="24"/>
          <w:szCs w:val="24"/>
          <w:lang w:val="es-ES" w:eastAsia="es-ES"/>
        </w:rPr>
        <w:t xml:space="preserve">Finalmente, no pasa desapercibido para este Órgano Garante que el particular solicito la información mediante </w:t>
      </w:r>
      <w:r w:rsidRPr="00665BB2">
        <w:rPr>
          <w:rFonts w:ascii="Palatino Linotype" w:eastAsia="Times New Roman" w:hAnsi="Palatino Linotype" w:cs="Arial"/>
          <w:b/>
          <w:sz w:val="24"/>
          <w:szCs w:val="24"/>
          <w:lang w:val="es-ES" w:eastAsia="es-ES"/>
        </w:rPr>
        <w:t xml:space="preserve">CD-ROM(con costo) </w:t>
      </w:r>
      <w:r w:rsidR="00EF203B" w:rsidRPr="00FA4785">
        <w:rPr>
          <w:rFonts w:ascii="Palatino Linotype" w:eastAsia="Times New Roman" w:hAnsi="Palatino Linotype" w:cs="Arial"/>
          <w:sz w:val="24"/>
          <w:szCs w:val="24"/>
          <w:lang w:val="es-ES" w:eastAsia="es-ES"/>
        </w:rPr>
        <w:t xml:space="preserve">sin </w:t>
      </w:r>
      <w:r w:rsidR="00FA4785" w:rsidRPr="00FA4785">
        <w:rPr>
          <w:rFonts w:ascii="Palatino Linotype" w:eastAsia="Times New Roman" w:hAnsi="Palatino Linotype" w:cs="Arial"/>
          <w:sz w:val="24"/>
          <w:szCs w:val="24"/>
          <w:lang w:val="es-ES" w:eastAsia="es-ES"/>
        </w:rPr>
        <w:t>embargo</w:t>
      </w:r>
      <w:r w:rsidR="00EF203B" w:rsidRPr="00FA4785">
        <w:rPr>
          <w:rFonts w:ascii="Palatino Linotype" w:eastAsia="Times New Roman" w:hAnsi="Palatino Linotype" w:cs="Arial"/>
          <w:sz w:val="24"/>
          <w:szCs w:val="24"/>
          <w:lang w:val="es-ES" w:eastAsia="es-ES"/>
        </w:rPr>
        <w:t xml:space="preserve">, </w:t>
      </w:r>
      <w:r w:rsidR="00FA4785" w:rsidRPr="00FA4785">
        <w:rPr>
          <w:rFonts w:ascii="Palatino Linotype" w:eastAsia="Times New Roman" w:hAnsi="Palatino Linotype" w:cs="Arial"/>
          <w:sz w:val="24"/>
          <w:szCs w:val="24"/>
          <w:lang w:val="es-ES" w:eastAsia="es-ES"/>
        </w:rPr>
        <w:t>cuando el particular, presentó la solicitud de acceso a la información pública ante el Sujeto Obligado, ejerció el derecho en cuestión a través de su garantía primaria depositada en la autoridad quien, por mandato categórico del tercer párrafo del artículo primero de la Constitución Federal, se encuentra obligado, como todas las demás autoridades, en el ámbito de su competencia, a “promover, respetar, proteger y garantizar los derechos humanos”, entre los cuales se encuentra el de acceso a la información.</w:t>
      </w:r>
    </w:p>
    <w:p w:rsidR="00FA4785" w:rsidRDefault="00FA4785" w:rsidP="00FA4785">
      <w:pPr>
        <w:pStyle w:val="Prrafodelista"/>
        <w:spacing w:before="240" w:beforeAutospacing="1" w:after="0" w:afterAutospacing="1" w:line="360" w:lineRule="auto"/>
        <w:ind w:left="284" w:right="49"/>
        <w:jc w:val="both"/>
        <w:rPr>
          <w:rFonts w:ascii="Palatino Linotype" w:eastAsia="Times New Roman" w:hAnsi="Palatino Linotype" w:cs="Arial"/>
          <w:sz w:val="24"/>
          <w:szCs w:val="24"/>
          <w:lang w:val="es-ES" w:eastAsia="es-ES"/>
        </w:rPr>
      </w:pPr>
    </w:p>
    <w:p w:rsidR="00FA4785" w:rsidRPr="00E5118B" w:rsidRDefault="00FA4785" w:rsidP="00FA4785">
      <w:pPr>
        <w:pStyle w:val="Prrafodelista"/>
        <w:numPr>
          <w:ilvl w:val="0"/>
          <w:numId w:val="2"/>
        </w:numPr>
        <w:spacing w:before="240" w:beforeAutospacing="1" w:after="0" w:afterAutospacing="1" w:line="360" w:lineRule="auto"/>
        <w:ind w:left="284" w:right="49"/>
        <w:jc w:val="both"/>
        <w:rPr>
          <w:rFonts w:ascii="Palatino Linotype" w:eastAsia="Times New Roman" w:hAnsi="Palatino Linotype" w:cs="Arial"/>
          <w:sz w:val="24"/>
          <w:szCs w:val="24"/>
          <w:lang w:val="es-ES" w:eastAsia="es-ES"/>
        </w:rPr>
      </w:pPr>
      <w:r w:rsidRPr="009B5E5D">
        <w:rPr>
          <w:rFonts w:ascii="Palatino Linotype" w:hAnsi="Palatino Linotype" w:cs="Arial"/>
          <w:sz w:val="24"/>
          <w:szCs w:val="24"/>
        </w:rPr>
        <w:lastRenderedPageBreak/>
        <w:t xml:space="preserve">La garantía primaria, en la que se constituye la solicitud de acceso a la información pública, impone a la autoridad la obligación de atender la solicitud en los términos requeridos, obviamente, como el resto de los derechos, ninguno es absoluto y es posible limitarlos y restringirlos, siguiendo el procedimiento que para tal efecto se encuentra establecido, sin embargo, en este caso al señalar como </w:t>
      </w:r>
      <w:r w:rsidRPr="009B5E5D">
        <w:rPr>
          <w:rFonts w:ascii="Palatino Linotype" w:eastAsia="Times New Roman" w:hAnsi="Palatino Linotype" w:cs="Arial"/>
          <w:sz w:val="24"/>
          <w:szCs w:val="24"/>
          <w:lang w:val="es-ES" w:eastAsia="es-ES"/>
        </w:rPr>
        <w:t>CD-ROM</w:t>
      </w:r>
      <w:r w:rsidR="00B52CBB">
        <w:rPr>
          <w:rFonts w:ascii="Palatino Linotype" w:eastAsia="Times New Roman" w:hAnsi="Palatino Linotype" w:cs="Arial"/>
          <w:sz w:val="24"/>
          <w:szCs w:val="24"/>
          <w:lang w:val="es-ES" w:eastAsia="es-ES"/>
        </w:rPr>
        <w:t xml:space="preserve"> </w:t>
      </w:r>
      <w:r w:rsidRPr="009B5E5D">
        <w:rPr>
          <w:rFonts w:ascii="Palatino Linotype" w:eastAsia="Times New Roman" w:hAnsi="Palatino Linotype" w:cs="Arial"/>
          <w:sz w:val="24"/>
          <w:szCs w:val="24"/>
          <w:lang w:val="es-ES" w:eastAsia="es-ES"/>
        </w:rPr>
        <w:t>(con costo</w:t>
      </w:r>
      <w:r w:rsidR="004C07B7" w:rsidRPr="009B5E5D">
        <w:rPr>
          <w:rFonts w:ascii="Palatino Linotype" w:eastAsia="Times New Roman" w:hAnsi="Palatino Linotype" w:cs="Arial"/>
          <w:sz w:val="24"/>
          <w:szCs w:val="24"/>
          <w:lang w:val="es-ES" w:eastAsia="es-ES"/>
        </w:rPr>
        <w:t>)</w:t>
      </w:r>
      <w:r w:rsidRPr="009B5E5D">
        <w:rPr>
          <w:rFonts w:ascii="Palatino Linotype" w:hAnsi="Palatino Linotype" w:cs="Arial"/>
          <w:sz w:val="24"/>
          <w:szCs w:val="24"/>
        </w:rPr>
        <w:t xml:space="preserve"> </w:t>
      </w:r>
      <w:r w:rsidR="004C07B7" w:rsidRPr="009B5E5D">
        <w:rPr>
          <w:rFonts w:ascii="Palatino Linotype" w:hAnsi="Palatino Linotype" w:cs="Arial"/>
          <w:sz w:val="24"/>
          <w:szCs w:val="24"/>
        </w:rPr>
        <w:t xml:space="preserve"> </w:t>
      </w:r>
      <w:r w:rsidRPr="009B5E5D">
        <w:rPr>
          <w:rFonts w:ascii="Palatino Linotype" w:hAnsi="Palatino Linotype" w:cs="Arial"/>
          <w:sz w:val="24"/>
          <w:szCs w:val="24"/>
        </w:rPr>
        <w:t xml:space="preserve">la forma en la que requiere acceder a la información solicitada, según lo establece el artículo 155 fracción V de la Ley de Transparencia y Acceso a la Información Pública del Estado de México y Municipios, y en estricto sentido, la persona que desea acceder a la información, al elegir una modalidad de entrega que genere un costo como lo es el caso, deberá cubrir el mismo, para que le sea entregada la información que requiere, sin embargo, el Sujeto Obligado, al </w:t>
      </w:r>
      <w:r w:rsidR="004C07B7" w:rsidRPr="009B5E5D">
        <w:rPr>
          <w:rFonts w:ascii="Palatino Linotype" w:hAnsi="Palatino Linotype" w:cs="Arial"/>
          <w:sz w:val="24"/>
          <w:szCs w:val="24"/>
        </w:rPr>
        <w:t xml:space="preserve">negar la </w:t>
      </w:r>
      <w:r w:rsidR="009B5E5D" w:rsidRPr="009B5E5D">
        <w:rPr>
          <w:rFonts w:ascii="Palatino Linotype" w:hAnsi="Palatino Linotype" w:cs="Arial"/>
          <w:sz w:val="24"/>
          <w:szCs w:val="24"/>
        </w:rPr>
        <w:t>información</w:t>
      </w:r>
      <w:r w:rsidR="009B5E5D">
        <w:rPr>
          <w:rFonts w:ascii="Palatino Linotype" w:hAnsi="Palatino Linotype" w:cs="Arial"/>
          <w:sz w:val="24"/>
          <w:szCs w:val="24"/>
        </w:rPr>
        <w:t xml:space="preserve"> y señalar </w:t>
      </w:r>
      <w:r w:rsidR="004C07B7" w:rsidRPr="009B5E5D">
        <w:rPr>
          <w:rFonts w:ascii="Palatino Linotype" w:hAnsi="Palatino Linotype" w:cs="Arial"/>
          <w:sz w:val="24"/>
          <w:szCs w:val="24"/>
        </w:rPr>
        <w:t xml:space="preserve">que no se procesa </w:t>
      </w:r>
      <w:r w:rsidR="009B5E5D" w:rsidRPr="009B5E5D">
        <w:rPr>
          <w:rFonts w:ascii="Palatino Linotype" w:hAnsi="Palatino Linotype" w:cs="Arial"/>
          <w:sz w:val="24"/>
          <w:szCs w:val="24"/>
        </w:rPr>
        <w:t>información</w:t>
      </w:r>
      <w:r w:rsidR="004C07B7" w:rsidRPr="009B5E5D">
        <w:rPr>
          <w:rFonts w:ascii="Palatino Linotype" w:hAnsi="Palatino Linotype" w:cs="Arial"/>
          <w:sz w:val="24"/>
          <w:szCs w:val="24"/>
        </w:rPr>
        <w:t xml:space="preserve"> estadística</w:t>
      </w:r>
      <w:r w:rsidR="00E5118B">
        <w:rPr>
          <w:rFonts w:ascii="Palatino Linotype" w:hAnsi="Palatino Linotype" w:cs="Arial"/>
          <w:sz w:val="24"/>
          <w:szCs w:val="24"/>
        </w:rPr>
        <w:t xml:space="preserve">, se actualiza la figura de </w:t>
      </w:r>
      <w:r w:rsidRPr="009B5E5D">
        <w:rPr>
          <w:rFonts w:ascii="Palatino Linotype" w:hAnsi="Palatino Linotype" w:cs="Arial"/>
          <w:sz w:val="24"/>
          <w:szCs w:val="24"/>
        </w:rPr>
        <w:t>negligencia</w:t>
      </w:r>
      <w:r w:rsidR="00E5118B">
        <w:rPr>
          <w:rFonts w:ascii="Palatino Linotype" w:hAnsi="Palatino Linotype" w:cs="Arial"/>
          <w:sz w:val="24"/>
          <w:szCs w:val="24"/>
        </w:rPr>
        <w:t>, lo que</w:t>
      </w:r>
      <w:r w:rsidRPr="009B5E5D">
        <w:rPr>
          <w:rFonts w:ascii="Palatino Linotype" w:hAnsi="Palatino Linotype" w:cs="Arial"/>
          <w:sz w:val="24"/>
          <w:szCs w:val="24"/>
        </w:rPr>
        <w:t xml:space="preserve"> provoca una afectación a este derecho, por lo tanto es responsable de cubrir los costos de reproducción y envío</w:t>
      </w:r>
      <w:r w:rsidR="00E5118B">
        <w:rPr>
          <w:rFonts w:ascii="Palatino Linotype" w:hAnsi="Palatino Linotype" w:cs="Arial"/>
          <w:sz w:val="24"/>
          <w:szCs w:val="24"/>
        </w:rPr>
        <w:t xml:space="preserve"> en virtud de que </w:t>
      </w:r>
      <w:r w:rsidR="00E5118B" w:rsidRPr="009B5E5D">
        <w:rPr>
          <w:rFonts w:ascii="Palatino Linotype" w:hAnsi="Palatino Linotype" w:cs="Arial"/>
          <w:sz w:val="24"/>
          <w:szCs w:val="24"/>
        </w:rPr>
        <w:t>derivado del estudio realizado se aprecia que si cuenta con dicha información</w:t>
      </w:r>
      <w:r w:rsidR="00E5118B">
        <w:rPr>
          <w:rFonts w:ascii="Palatino Linotype" w:hAnsi="Palatino Linotype" w:cs="Arial"/>
          <w:sz w:val="24"/>
          <w:szCs w:val="24"/>
        </w:rPr>
        <w:t xml:space="preserve">. </w:t>
      </w:r>
    </w:p>
    <w:p w:rsidR="00E5118B" w:rsidRPr="00E5118B" w:rsidRDefault="00E5118B" w:rsidP="00E5118B">
      <w:pPr>
        <w:pStyle w:val="Prrafodelista"/>
        <w:spacing w:before="240" w:beforeAutospacing="1" w:after="0" w:afterAutospacing="1" w:line="360" w:lineRule="auto"/>
        <w:ind w:left="284" w:right="49"/>
        <w:jc w:val="both"/>
        <w:rPr>
          <w:rFonts w:ascii="Palatino Linotype" w:eastAsia="Times New Roman" w:hAnsi="Palatino Linotype" w:cs="Arial"/>
          <w:sz w:val="24"/>
          <w:szCs w:val="24"/>
          <w:lang w:val="es-ES" w:eastAsia="es-ES"/>
        </w:rPr>
      </w:pPr>
    </w:p>
    <w:p w:rsidR="00FA4785" w:rsidRPr="006410B5" w:rsidRDefault="00E5118B" w:rsidP="00E5118B">
      <w:pPr>
        <w:pStyle w:val="Prrafodelista"/>
        <w:numPr>
          <w:ilvl w:val="0"/>
          <w:numId w:val="2"/>
        </w:numPr>
        <w:spacing w:before="240" w:beforeAutospacing="1" w:after="0" w:afterAutospacing="1" w:line="360" w:lineRule="auto"/>
        <w:ind w:left="284" w:right="49"/>
        <w:jc w:val="both"/>
        <w:rPr>
          <w:rFonts w:ascii="Palatino Linotype" w:eastAsia="Times New Roman" w:hAnsi="Palatino Linotype" w:cs="Arial"/>
          <w:sz w:val="24"/>
          <w:szCs w:val="24"/>
          <w:lang w:val="es-ES" w:eastAsia="es-ES"/>
        </w:rPr>
      </w:pPr>
      <w:r w:rsidRPr="006410B5">
        <w:rPr>
          <w:rFonts w:ascii="Palatino Linotype" w:hAnsi="Palatino Linotype" w:cs="Arial"/>
          <w:sz w:val="24"/>
          <w:szCs w:val="24"/>
        </w:rPr>
        <w:t>Por lo que, e</w:t>
      </w:r>
      <w:r w:rsidR="00FA4785" w:rsidRPr="006410B5">
        <w:rPr>
          <w:rFonts w:ascii="Palatino Linotype" w:hAnsi="Palatino Linotype" w:cs="Arial"/>
          <w:sz w:val="24"/>
          <w:szCs w:val="24"/>
        </w:rPr>
        <w:t xml:space="preserve">n este caso es evidente que el pago </w:t>
      </w:r>
      <w:r w:rsidRPr="006410B5">
        <w:rPr>
          <w:rFonts w:ascii="Palatino Linotype" w:hAnsi="Palatino Linotype" w:cs="Arial"/>
          <w:sz w:val="24"/>
          <w:szCs w:val="24"/>
        </w:rPr>
        <w:t>de</w:t>
      </w:r>
      <w:r w:rsidR="00FA4785" w:rsidRPr="006410B5">
        <w:rPr>
          <w:rFonts w:ascii="Palatino Linotype" w:hAnsi="Palatino Linotype" w:cs="Arial"/>
          <w:sz w:val="24"/>
          <w:szCs w:val="24"/>
        </w:rPr>
        <w:t xml:space="preserve"> la expedición de la información requerida en la modalidad elegida por </w:t>
      </w:r>
      <w:r w:rsidR="006410B5" w:rsidRPr="006410B5">
        <w:rPr>
          <w:rFonts w:ascii="Palatino Linotype" w:hAnsi="Palatino Linotype" w:cs="Arial"/>
          <w:sz w:val="24"/>
          <w:szCs w:val="24"/>
        </w:rPr>
        <w:t xml:space="preserve">el </w:t>
      </w:r>
      <w:r w:rsidR="00FA4785" w:rsidRPr="006410B5">
        <w:rPr>
          <w:rFonts w:ascii="Palatino Linotype" w:hAnsi="Palatino Linotype" w:cs="Arial"/>
          <w:sz w:val="24"/>
          <w:szCs w:val="24"/>
        </w:rPr>
        <w:t>recurrente, no resulta aplicable</w:t>
      </w:r>
      <w:r w:rsidR="006410B5" w:rsidRPr="006410B5">
        <w:rPr>
          <w:rFonts w:ascii="Palatino Linotype" w:hAnsi="Palatino Linotype" w:cs="Arial"/>
          <w:sz w:val="24"/>
          <w:szCs w:val="24"/>
        </w:rPr>
        <w:t>,</w:t>
      </w:r>
      <w:r w:rsidR="00FA4785" w:rsidRPr="006410B5">
        <w:rPr>
          <w:rFonts w:ascii="Palatino Linotype" w:hAnsi="Palatino Linotype" w:cs="Arial"/>
          <w:sz w:val="24"/>
          <w:szCs w:val="24"/>
        </w:rPr>
        <w:t xml:space="preserve"> para ello es dable señalar el contenido de la Ley de Transparencia y Acceso a la Información Pública del Estado de México y Municipios  en su artículo 234, el cual establece lo siguiente:</w:t>
      </w:r>
    </w:p>
    <w:p w:rsidR="00FA4785" w:rsidRPr="00D15BA9" w:rsidRDefault="00FA4785" w:rsidP="00FA4785">
      <w:pPr>
        <w:pStyle w:val="Prrafodelista"/>
        <w:rPr>
          <w:rFonts w:ascii="Palatino Linotype" w:hAnsi="Palatino Linotype" w:cs="Arial"/>
          <w:b/>
          <w:color w:val="FF0000"/>
          <w:sz w:val="24"/>
          <w:szCs w:val="24"/>
        </w:rPr>
      </w:pPr>
    </w:p>
    <w:p w:rsidR="00FA4785" w:rsidRPr="006410B5" w:rsidRDefault="00FA4785" w:rsidP="00FA4785">
      <w:pPr>
        <w:autoSpaceDE w:val="0"/>
        <w:autoSpaceDN w:val="0"/>
        <w:adjustRightInd w:val="0"/>
        <w:spacing w:after="0" w:line="360" w:lineRule="auto"/>
        <w:ind w:left="851" w:right="616"/>
        <w:jc w:val="both"/>
        <w:rPr>
          <w:rFonts w:ascii="Palatino Linotype" w:hAnsi="Palatino Linotype" w:cs="Bookman Old Style"/>
          <w:i/>
          <w:szCs w:val="20"/>
        </w:rPr>
      </w:pPr>
      <w:r w:rsidRPr="006410B5">
        <w:rPr>
          <w:rFonts w:ascii="Palatino Linotype" w:hAnsi="Palatino Linotype" w:cs="Bookman Old Style,Bold"/>
          <w:b/>
          <w:bCs/>
          <w:i/>
          <w:szCs w:val="20"/>
        </w:rPr>
        <w:lastRenderedPageBreak/>
        <w:t xml:space="preserve">Artículo 234. </w:t>
      </w:r>
      <w:r w:rsidRPr="006410B5">
        <w:rPr>
          <w:rFonts w:ascii="Palatino Linotype" w:hAnsi="Palatino Linotype" w:cs="Bookman Old Style"/>
          <w:i/>
          <w:szCs w:val="20"/>
        </w:rPr>
        <w:t>En caso que el Instituto determine que por negligencia no se hubiere atendido alguna solicitud en los términos de esta Ley, requerirá a la Unidad de Transparencia correspondiente para que proporcione la información sin costo alguno para el solicitante, dentro del plazo de quince días hábiles a partir del requerimiento.</w:t>
      </w:r>
    </w:p>
    <w:p w:rsidR="00FA4785" w:rsidRPr="00D15BA9" w:rsidRDefault="00FA4785" w:rsidP="00FA4785">
      <w:pPr>
        <w:autoSpaceDE w:val="0"/>
        <w:autoSpaceDN w:val="0"/>
        <w:adjustRightInd w:val="0"/>
        <w:spacing w:after="0" w:line="240" w:lineRule="auto"/>
        <w:rPr>
          <w:rFonts w:ascii="Palatino Linotype" w:hAnsi="Palatino Linotype" w:cs="Arial"/>
          <w:color w:val="FF0000"/>
          <w:sz w:val="24"/>
          <w:szCs w:val="24"/>
        </w:rPr>
      </w:pPr>
    </w:p>
    <w:p w:rsidR="003F20CF" w:rsidRPr="006410B5" w:rsidRDefault="006410B5" w:rsidP="006410B5">
      <w:pPr>
        <w:pStyle w:val="Prrafodelista"/>
        <w:numPr>
          <w:ilvl w:val="0"/>
          <w:numId w:val="2"/>
        </w:numPr>
        <w:spacing w:before="240" w:beforeAutospacing="1" w:after="0" w:afterAutospacing="1" w:line="360" w:lineRule="auto"/>
        <w:ind w:left="284" w:right="49"/>
        <w:jc w:val="both"/>
        <w:rPr>
          <w:rFonts w:ascii="Palatino Linotype" w:hAnsi="Palatino Linotype" w:cs="Arial"/>
          <w:i/>
          <w:color w:val="000000" w:themeColor="text1"/>
        </w:rPr>
      </w:pPr>
      <w:r w:rsidRPr="006410B5">
        <w:rPr>
          <w:rFonts w:ascii="Palatino Linotype" w:eastAsia="Times New Roman" w:hAnsi="Palatino Linotype" w:cs="Arial"/>
          <w:sz w:val="24"/>
          <w:szCs w:val="24"/>
          <w:lang w:val="es-ES" w:eastAsia="es-ES"/>
        </w:rPr>
        <w:t xml:space="preserve">Por consiguiente </w:t>
      </w:r>
      <w:r w:rsidR="001D22B5" w:rsidRPr="006410B5">
        <w:rPr>
          <w:rFonts w:ascii="Palatino Linotype" w:eastAsia="Times New Roman" w:hAnsi="Palatino Linotype" w:cs="Arial"/>
          <w:sz w:val="24"/>
          <w:szCs w:val="24"/>
          <w:lang w:val="es-ES" w:eastAsia="es-ES"/>
        </w:rPr>
        <w:t xml:space="preserve">el Sujeto </w:t>
      </w:r>
      <w:r w:rsidR="003F20CF" w:rsidRPr="006410B5">
        <w:rPr>
          <w:rFonts w:ascii="Palatino Linotype" w:eastAsia="Times New Roman" w:hAnsi="Palatino Linotype" w:cs="Arial"/>
          <w:sz w:val="24"/>
          <w:szCs w:val="24"/>
          <w:lang w:val="es-ES" w:eastAsia="es-ES"/>
        </w:rPr>
        <w:t>Obligado</w:t>
      </w:r>
      <w:r w:rsidR="003F20CF" w:rsidRPr="006410B5">
        <w:rPr>
          <w:rFonts w:ascii="Palatino Linotype" w:hAnsi="Palatino Linotype" w:cs="Arial"/>
          <w:color w:val="000000" w:themeColor="text1"/>
          <w:sz w:val="24"/>
          <w:szCs w:val="24"/>
        </w:rPr>
        <w:t xml:space="preserve">, debe notificarle </w:t>
      </w:r>
      <w:r w:rsidR="000C1475">
        <w:rPr>
          <w:rFonts w:ascii="Palatino Linotype" w:hAnsi="Palatino Linotype" w:cs="Arial"/>
          <w:color w:val="000000" w:themeColor="text1"/>
          <w:sz w:val="24"/>
          <w:szCs w:val="24"/>
        </w:rPr>
        <w:t xml:space="preserve">el lugar, días </w:t>
      </w:r>
      <w:r w:rsidR="003F20CF" w:rsidRPr="006410B5">
        <w:rPr>
          <w:rFonts w:ascii="Palatino Linotype" w:hAnsi="Palatino Linotype" w:cs="Arial"/>
          <w:color w:val="000000" w:themeColor="text1"/>
          <w:sz w:val="24"/>
          <w:szCs w:val="24"/>
        </w:rPr>
        <w:t xml:space="preserve">y horario en que será puesta a su disposición la información, en términos del artículo 17, 174 y 175 </w:t>
      </w:r>
      <w:r>
        <w:rPr>
          <w:rFonts w:ascii="Palatino Linotype" w:hAnsi="Palatino Linotype" w:cs="Arial"/>
          <w:color w:val="000000" w:themeColor="text1"/>
          <w:sz w:val="24"/>
          <w:szCs w:val="24"/>
        </w:rPr>
        <w:t>de la Ley de Transparencia Local.</w:t>
      </w:r>
    </w:p>
    <w:p w:rsidR="006410B5" w:rsidRPr="006410B5" w:rsidRDefault="006410B5" w:rsidP="006410B5">
      <w:pPr>
        <w:pStyle w:val="Prrafodelista"/>
        <w:spacing w:before="240" w:beforeAutospacing="1" w:after="0" w:afterAutospacing="1" w:line="360" w:lineRule="auto"/>
        <w:ind w:left="284" w:right="49"/>
        <w:jc w:val="both"/>
        <w:rPr>
          <w:rFonts w:ascii="Palatino Linotype" w:hAnsi="Palatino Linotype" w:cs="Arial"/>
          <w:i/>
          <w:color w:val="000000" w:themeColor="text1"/>
        </w:rPr>
      </w:pPr>
    </w:p>
    <w:p w:rsidR="00DA35D8" w:rsidRPr="00827DC9" w:rsidRDefault="009A3001" w:rsidP="00C045AC">
      <w:pPr>
        <w:pStyle w:val="Prrafodelista"/>
        <w:numPr>
          <w:ilvl w:val="0"/>
          <w:numId w:val="2"/>
        </w:numPr>
        <w:spacing w:before="240" w:beforeAutospacing="1" w:after="0" w:afterAutospacing="1" w:line="360" w:lineRule="auto"/>
        <w:ind w:left="284" w:right="49"/>
        <w:jc w:val="both"/>
        <w:rPr>
          <w:rFonts w:ascii="Palatino Linotype" w:eastAsia="Times New Roman" w:hAnsi="Palatino Linotype" w:cs="Arial"/>
          <w:sz w:val="24"/>
          <w:szCs w:val="24"/>
          <w:lang w:val="es-ES" w:eastAsia="es-ES"/>
        </w:rPr>
      </w:pPr>
      <w:r w:rsidRPr="00827DC9">
        <w:rPr>
          <w:rFonts w:ascii="Palatino Linotype" w:eastAsia="Times New Roman" w:hAnsi="Palatino Linotype" w:cs="Arial"/>
          <w:sz w:val="24"/>
          <w:szCs w:val="24"/>
          <w:lang w:val="es-ES" w:eastAsia="es-ES"/>
        </w:rPr>
        <w:t>Por lo tanto</w:t>
      </w:r>
      <w:r w:rsidR="00E22CC0" w:rsidRPr="00827DC9">
        <w:rPr>
          <w:rFonts w:ascii="Palatino Linotype" w:eastAsia="Times New Roman" w:hAnsi="Palatino Linotype" w:cs="Arial"/>
          <w:sz w:val="24"/>
          <w:szCs w:val="24"/>
          <w:lang w:val="es-ES" w:eastAsia="es-ES"/>
        </w:rPr>
        <w:t xml:space="preserve">, resultan fundadas las razones o motivos de inconformidad hechos valer por </w:t>
      </w:r>
      <w:r w:rsidR="00D23C7B" w:rsidRPr="00827DC9">
        <w:rPr>
          <w:rFonts w:ascii="Palatino Linotype" w:eastAsia="Times New Roman" w:hAnsi="Palatino Linotype" w:cs="Arial"/>
          <w:sz w:val="24"/>
          <w:szCs w:val="24"/>
          <w:lang w:val="es-ES" w:eastAsia="es-ES"/>
        </w:rPr>
        <w:t xml:space="preserve">recurrente </w:t>
      </w:r>
      <w:r w:rsidR="00E22CC0" w:rsidRPr="00827DC9">
        <w:rPr>
          <w:rFonts w:ascii="Palatino Linotype" w:eastAsia="Times New Roman" w:hAnsi="Palatino Linotype" w:cs="Arial"/>
          <w:sz w:val="24"/>
          <w:szCs w:val="24"/>
          <w:lang w:val="es-ES" w:eastAsia="es-ES"/>
        </w:rPr>
        <w:t xml:space="preserve">en el recurso de revisión en merito, </w:t>
      </w:r>
      <w:r w:rsidRPr="00827DC9">
        <w:rPr>
          <w:rFonts w:ascii="Palatino Linotype" w:eastAsia="Times New Roman" w:hAnsi="Palatino Linotype" w:cs="Arial"/>
          <w:sz w:val="24"/>
          <w:szCs w:val="24"/>
          <w:lang w:val="es-ES" w:eastAsia="es-ES"/>
        </w:rPr>
        <w:t>razón</w:t>
      </w:r>
      <w:r w:rsidR="00E22CC0" w:rsidRPr="00827DC9">
        <w:rPr>
          <w:rFonts w:ascii="Palatino Linotype" w:eastAsia="Times New Roman" w:hAnsi="Palatino Linotype" w:cs="Arial"/>
          <w:sz w:val="24"/>
          <w:szCs w:val="24"/>
          <w:lang w:val="es-ES" w:eastAsia="es-ES"/>
        </w:rPr>
        <w:t xml:space="preserve"> </w:t>
      </w:r>
      <w:r w:rsidRPr="00827DC9">
        <w:rPr>
          <w:rFonts w:ascii="Palatino Linotype" w:eastAsia="Times New Roman" w:hAnsi="Palatino Linotype" w:cs="Arial"/>
          <w:sz w:val="24"/>
          <w:szCs w:val="24"/>
          <w:lang w:val="es-ES" w:eastAsia="es-ES"/>
        </w:rPr>
        <w:t>por</w:t>
      </w:r>
      <w:r w:rsidR="00E22CC0" w:rsidRPr="00827DC9">
        <w:rPr>
          <w:rFonts w:ascii="Palatino Linotype" w:eastAsia="Times New Roman" w:hAnsi="Palatino Linotype" w:cs="Arial"/>
          <w:sz w:val="24"/>
          <w:szCs w:val="24"/>
          <w:lang w:val="es-ES" w:eastAsia="es-ES"/>
        </w:rPr>
        <w:t xml:space="preserve"> la cual </w:t>
      </w:r>
      <w:r w:rsidR="0003181B" w:rsidRPr="00827DC9">
        <w:rPr>
          <w:rFonts w:ascii="Palatino Linotype" w:eastAsia="Times New Roman" w:hAnsi="Palatino Linotype" w:cs="Arial"/>
          <w:sz w:val="24"/>
          <w:szCs w:val="24"/>
          <w:lang w:val="es-ES" w:eastAsia="es-ES"/>
        </w:rPr>
        <w:t xml:space="preserve">es dable ordenar </w:t>
      </w:r>
      <w:r w:rsidR="001D22B5" w:rsidRPr="00827DC9">
        <w:rPr>
          <w:rFonts w:ascii="Palatino Linotype" w:eastAsia="Times New Roman" w:hAnsi="Palatino Linotype" w:cs="Arial"/>
          <w:sz w:val="24"/>
          <w:szCs w:val="24"/>
          <w:lang w:val="es-ES" w:eastAsia="es-ES"/>
        </w:rPr>
        <w:t xml:space="preserve">el o los documentos </w:t>
      </w:r>
      <w:r w:rsidR="006410B5" w:rsidRPr="00827DC9">
        <w:rPr>
          <w:rFonts w:ascii="Palatino Linotype" w:eastAsia="Times New Roman" w:hAnsi="Palatino Linotype" w:cs="Arial"/>
          <w:sz w:val="24"/>
          <w:szCs w:val="24"/>
          <w:lang w:val="es-ES" w:eastAsia="es-ES"/>
        </w:rPr>
        <w:t xml:space="preserve">donde conste o se aprecie el número de </w:t>
      </w:r>
      <w:r w:rsidR="006410B5" w:rsidRPr="00827DC9">
        <w:rPr>
          <w:rFonts w:ascii="Palatino Linotype" w:hAnsi="Palatino Linotype" w:cs="Arial"/>
          <w:sz w:val="24"/>
          <w:lang w:eastAsia="es-MX"/>
        </w:rPr>
        <w:t xml:space="preserve">NIC (número interno de control) y </w:t>
      </w:r>
      <w:r w:rsidR="00C045AC" w:rsidRPr="00827DC9">
        <w:rPr>
          <w:rFonts w:ascii="Palatino Linotype" w:hAnsi="Palatino Linotype" w:cs="Arial"/>
          <w:sz w:val="24"/>
          <w:lang w:eastAsia="es-MX"/>
        </w:rPr>
        <w:t xml:space="preserve">número de </w:t>
      </w:r>
      <w:r w:rsidR="006410B5" w:rsidRPr="00827DC9">
        <w:rPr>
          <w:rFonts w:ascii="Palatino Linotype" w:hAnsi="Palatino Linotype" w:cs="Arial"/>
          <w:sz w:val="24"/>
          <w:lang w:eastAsia="es-MX"/>
        </w:rPr>
        <w:t xml:space="preserve">NUC (número único de causa) </w:t>
      </w:r>
      <w:r w:rsidR="006410B5" w:rsidRPr="00827DC9">
        <w:rPr>
          <w:rFonts w:ascii="Palatino Linotype" w:eastAsia="Times New Roman" w:hAnsi="Palatino Linotype" w:cs="Arial"/>
          <w:sz w:val="24"/>
          <w:szCs w:val="24"/>
          <w:lang w:val="es-ES" w:eastAsia="es-MX"/>
        </w:rPr>
        <w:t xml:space="preserve"> que se iniciaron en los años 2016, 2017 y del 01 de enero  al 31 de mayo de 2018 de los delitos de: robo a transporte público, robo a transeúnte  y robo a casa habitación</w:t>
      </w:r>
      <w:r w:rsidR="00C045AC" w:rsidRPr="00827DC9">
        <w:rPr>
          <w:rFonts w:ascii="Palatino Linotype" w:eastAsia="Times New Roman" w:hAnsi="Palatino Linotype" w:cs="Arial"/>
          <w:sz w:val="24"/>
          <w:szCs w:val="24"/>
          <w:lang w:val="es-ES" w:eastAsia="es-MX"/>
        </w:rPr>
        <w:t xml:space="preserve"> en el C.J. NEZA LA PERLA, C.J. NEZA PALACIO y A.M.P. CAMPESTRE GUADALUPANA</w:t>
      </w:r>
      <w:r w:rsidR="000C1475" w:rsidRPr="00827DC9">
        <w:rPr>
          <w:rFonts w:ascii="Palatino Linotype" w:eastAsia="Times New Roman" w:hAnsi="Palatino Linotype" w:cs="Arial"/>
          <w:sz w:val="24"/>
          <w:szCs w:val="24"/>
          <w:lang w:val="es-ES" w:eastAsia="es-MX"/>
        </w:rPr>
        <w:t xml:space="preserve"> a mayor grado de desagregación posible</w:t>
      </w:r>
      <w:r w:rsidR="00C045AC" w:rsidRPr="00827DC9">
        <w:rPr>
          <w:rFonts w:ascii="Palatino Linotype" w:eastAsia="Times New Roman" w:hAnsi="Palatino Linotype" w:cs="Arial"/>
          <w:sz w:val="24"/>
          <w:szCs w:val="24"/>
          <w:lang w:val="es-ES" w:eastAsia="es-MX"/>
        </w:rPr>
        <w:t xml:space="preserve">, </w:t>
      </w:r>
      <w:r w:rsidR="0024195C" w:rsidRPr="00827DC9">
        <w:rPr>
          <w:rFonts w:ascii="Palatino Linotype" w:eastAsia="Times New Roman" w:hAnsi="Palatino Linotype" w:cs="Arial"/>
          <w:sz w:val="24"/>
          <w:szCs w:val="24"/>
          <w:lang w:val="es-ES" w:eastAsia="es-ES"/>
        </w:rPr>
        <w:t>en versión publica</w:t>
      </w:r>
      <w:r w:rsidR="00FF161E" w:rsidRPr="00827DC9">
        <w:rPr>
          <w:rFonts w:ascii="Palatino Linotype" w:eastAsia="Times New Roman" w:hAnsi="Palatino Linotype" w:cs="Arial"/>
          <w:sz w:val="24"/>
          <w:szCs w:val="24"/>
          <w:lang w:val="es-ES" w:eastAsia="es-ES"/>
        </w:rPr>
        <w:t xml:space="preserve"> de ser procedente </w:t>
      </w:r>
      <w:r w:rsidR="0024195C" w:rsidRPr="00827DC9">
        <w:rPr>
          <w:rFonts w:ascii="Palatino Linotype" w:eastAsia="Times New Roman" w:hAnsi="Palatino Linotype" w:cs="Arial"/>
          <w:sz w:val="24"/>
          <w:szCs w:val="24"/>
          <w:lang w:val="es-ES" w:eastAsia="es-ES"/>
        </w:rPr>
        <w:t xml:space="preserve"> en términos del considerando </w:t>
      </w:r>
      <w:r w:rsidR="00D23C7B" w:rsidRPr="00827DC9">
        <w:rPr>
          <w:rFonts w:ascii="Palatino Linotype" w:eastAsia="Times New Roman" w:hAnsi="Palatino Linotype" w:cs="Arial"/>
          <w:sz w:val="24"/>
          <w:szCs w:val="24"/>
          <w:lang w:val="es-ES" w:eastAsia="es-ES"/>
        </w:rPr>
        <w:t>QUINTO</w:t>
      </w:r>
      <w:r w:rsidR="00767D06" w:rsidRPr="00827DC9">
        <w:rPr>
          <w:rFonts w:ascii="Palatino Linotype" w:eastAsia="Times New Roman" w:hAnsi="Palatino Linotype" w:cs="Arial"/>
          <w:sz w:val="24"/>
          <w:szCs w:val="24"/>
          <w:lang w:val="es-ES" w:eastAsia="es-ES"/>
        </w:rPr>
        <w:t>.</w:t>
      </w:r>
    </w:p>
    <w:p w:rsidR="00767D06" w:rsidRDefault="00767D06" w:rsidP="00767D06">
      <w:pPr>
        <w:pStyle w:val="Prrafodelista"/>
        <w:rPr>
          <w:rFonts w:ascii="Palatino Linotype" w:eastAsia="Times New Roman" w:hAnsi="Palatino Linotype" w:cs="Arial"/>
          <w:sz w:val="24"/>
          <w:szCs w:val="24"/>
          <w:lang w:val="es-ES" w:eastAsia="es-ES"/>
        </w:rPr>
      </w:pPr>
    </w:p>
    <w:p w:rsidR="009D4E1B" w:rsidRPr="00767D06" w:rsidRDefault="009D4E1B" w:rsidP="009D4E1B">
      <w:pPr>
        <w:pStyle w:val="Prrafodelista"/>
        <w:spacing w:before="240" w:beforeAutospacing="1" w:after="240" w:afterAutospacing="1" w:line="360" w:lineRule="auto"/>
        <w:ind w:left="284" w:right="49"/>
        <w:jc w:val="both"/>
        <w:rPr>
          <w:rFonts w:ascii="Palatino Linotype" w:hAnsi="Palatino Linotype" w:cs="Arial"/>
          <w:sz w:val="24"/>
          <w:szCs w:val="24"/>
        </w:rPr>
      </w:pPr>
    </w:p>
    <w:p w:rsidR="009D4E1B" w:rsidRPr="00767D06" w:rsidRDefault="009D4E1B" w:rsidP="00767D06">
      <w:pPr>
        <w:pStyle w:val="Prrafodelista"/>
        <w:rPr>
          <w:rFonts w:ascii="Palatino Linotype" w:eastAsia="Times New Roman" w:hAnsi="Palatino Linotype" w:cs="Arial"/>
          <w:sz w:val="24"/>
          <w:szCs w:val="24"/>
          <w:lang w:val="es-ES" w:eastAsia="es-ES"/>
        </w:rPr>
      </w:pPr>
    </w:p>
    <w:p w:rsidR="0024195C" w:rsidRPr="0024195C" w:rsidRDefault="0024195C" w:rsidP="0024195C">
      <w:pPr>
        <w:pStyle w:val="Prrafodelista"/>
        <w:rPr>
          <w:rFonts w:ascii="Palatino Linotype" w:eastAsia="Times New Roman" w:hAnsi="Palatino Linotype" w:cs="Arial"/>
          <w:sz w:val="24"/>
          <w:szCs w:val="24"/>
          <w:lang w:val="es-ES" w:eastAsia="es-ES"/>
        </w:rPr>
      </w:pPr>
    </w:p>
    <w:p w:rsidR="00EF1914" w:rsidRDefault="00D43C4B" w:rsidP="00EF1914">
      <w:pPr>
        <w:pStyle w:val="Ttulo2"/>
        <w:rPr>
          <w:rFonts w:ascii="Palatino Linotype" w:hAnsi="Palatino Linotype"/>
          <w:b/>
          <w:color w:val="auto"/>
          <w:sz w:val="24"/>
          <w:szCs w:val="24"/>
        </w:rPr>
      </w:pPr>
      <w:bookmarkStart w:id="46" w:name="_Toc511303340"/>
      <w:bookmarkStart w:id="47" w:name="_Toc522809778"/>
      <w:r>
        <w:rPr>
          <w:rFonts w:ascii="Palatino Linotype" w:hAnsi="Palatino Linotype"/>
          <w:b/>
          <w:color w:val="auto"/>
          <w:sz w:val="24"/>
          <w:szCs w:val="24"/>
        </w:rPr>
        <w:lastRenderedPageBreak/>
        <w:t>QUINTO</w:t>
      </w:r>
      <w:r w:rsidR="00EF1914" w:rsidRPr="003A2E6A">
        <w:rPr>
          <w:rFonts w:ascii="Palatino Linotype" w:hAnsi="Palatino Linotype"/>
          <w:b/>
          <w:color w:val="auto"/>
          <w:sz w:val="24"/>
          <w:szCs w:val="24"/>
        </w:rPr>
        <w:t>. De la versión pública.</w:t>
      </w:r>
      <w:bookmarkEnd w:id="46"/>
      <w:bookmarkEnd w:id="47"/>
    </w:p>
    <w:p w:rsidR="00EF1914" w:rsidRPr="00EF1914" w:rsidRDefault="00EF1914" w:rsidP="00EF1914">
      <w:pPr>
        <w:spacing w:after="0"/>
      </w:pPr>
    </w:p>
    <w:p w:rsidR="00EF1914" w:rsidRPr="006D4582" w:rsidRDefault="00EF1914" w:rsidP="00665BB2">
      <w:pPr>
        <w:pStyle w:val="Prrafodelista"/>
        <w:numPr>
          <w:ilvl w:val="0"/>
          <w:numId w:val="2"/>
        </w:numPr>
        <w:spacing w:after="120" w:line="360" w:lineRule="auto"/>
        <w:ind w:left="708" w:right="49" w:hanging="642"/>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 xml:space="preserve">Por otro lado, debe destacarse que debido a la naturaleza de la información </w:t>
      </w:r>
      <w:r w:rsidR="00891A75">
        <w:rPr>
          <w:rFonts w:ascii="Palatino Linotype" w:hAnsi="Palatino Linotype" w:cs="Arial"/>
          <w:color w:val="000000" w:themeColor="text1"/>
          <w:sz w:val="24"/>
        </w:rPr>
        <w:t>ordenada</w:t>
      </w:r>
      <w:r w:rsidRPr="006D4582">
        <w:rPr>
          <w:rFonts w:ascii="Palatino Linotype" w:hAnsi="Palatino Linotype" w:cs="Arial"/>
          <w:color w:val="000000" w:themeColor="text1"/>
          <w:sz w:val="24"/>
        </w:rPr>
        <w:t xml:space="preserve">,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D4582">
        <w:rPr>
          <w:rFonts w:ascii="Palatino Linotype" w:hAnsi="Palatino Linotype" w:cs="Arial"/>
          <w:b/>
          <w:color w:val="000000" w:themeColor="text1"/>
          <w:sz w:val="24"/>
          <w:u w:val="single"/>
        </w:rPr>
        <w:t>versión pública</w:t>
      </w:r>
      <w:r w:rsidRPr="006D4582">
        <w:rPr>
          <w:rFonts w:ascii="Palatino Linotype" w:hAnsi="Palatino Linotype" w:cs="Arial"/>
          <w:color w:val="000000" w:themeColor="text1"/>
          <w:sz w:val="24"/>
        </w:rPr>
        <w:t xml:space="preserve"> del documento por las consideraciones que se estimen pertinentes.</w:t>
      </w:r>
    </w:p>
    <w:p w:rsidR="00EF1914" w:rsidRPr="003A2E6A" w:rsidRDefault="00EF1914" w:rsidP="00EF1914">
      <w:pPr>
        <w:pStyle w:val="Prrafodelista"/>
        <w:spacing w:after="120" w:line="360" w:lineRule="auto"/>
        <w:ind w:left="426" w:right="49"/>
        <w:jc w:val="both"/>
        <w:rPr>
          <w:rFonts w:ascii="Palatino Linotype" w:hAnsi="Palatino Linotype" w:cs="Arial"/>
          <w:color w:val="000000" w:themeColor="text1"/>
        </w:rPr>
      </w:pPr>
    </w:p>
    <w:p w:rsidR="00EF1914" w:rsidRPr="006D4582" w:rsidRDefault="00EF1914" w:rsidP="00665BB2">
      <w:pPr>
        <w:pStyle w:val="Prrafodelista"/>
        <w:numPr>
          <w:ilvl w:val="0"/>
          <w:numId w:val="2"/>
        </w:numPr>
        <w:spacing w:after="120" w:line="360" w:lineRule="auto"/>
        <w:ind w:left="426" w:right="49"/>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D4582">
        <w:rPr>
          <w:sz w:val="24"/>
          <w:vertAlign w:val="superscript"/>
        </w:rPr>
        <w:footnoteReference w:id="8"/>
      </w:r>
      <w:r w:rsidRPr="006D4582">
        <w:rPr>
          <w:rFonts w:ascii="Palatino Linotype" w:hAnsi="Palatino Linotype" w:cs="Arial"/>
          <w:color w:val="000000" w:themeColor="text1"/>
          <w:sz w:val="24"/>
        </w:rPr>
        <w:t xml:space="preserve"> aunque cualquier límite o restricción, para ser legítimo, debe reunir con tres requisitos: primero, debe de estar establecida en un ordenamiento legal, antes de su aplicación; debe de </w:t>
      </w:r>
      <w:r w:rsidRPr="006D4582">
        <w:rPr>
          <w:rFonts w:ascii="Palatino Linotype" w:hAnsi="Palatino Linotype" w:cs="Arial"/>
          <w:color w:val="000000" w:themeColor="text1"/>
          <w:sz w:val="24"/>
        </w:rPr>
        <w:lastRenderedPageBreak/>
        <w:t>corresponder a un fin legítimo y ser estrictamente proporcional con el principio o valor que se pretende preservar.</w:t>
      </w:r>
      <w:r w:rsidRPr="006D4582">
        <w:rPr>
          <w:sz w:val="24"/>
          <w:vertAlign w:val="superscript"/>
        </w:rPr>
        <w:footnoteReference w:id="9"/>
      </w:r>
      <w:r w:rsidRPr="006D4582">
        <w:rPr>
          <w:rFonts w:ascii="Palatino Linotype" w:hAnsi="Palatino Linotype" w:cs="Arial"/>
          <w:color w:val="000000" w:themeColor="text1"/>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EF1914" w:rsidRPr="003A2E6A" w:rsidRDefault="00EF1914" w:rsidP="00EF1914">
      <w:pPr>
        <w:pStyle w:val="Prrafodelista"/>
        <w:rPr>
          <w:rFonts w:ascii="Palatino Linotype" w:hAnsi="Palatino Linotype" w:cs="Arial"/>
          <w:color w:val="000000" w:themeColor="text1"/>
        </w:rPr>
      </w:pPr>
    </w:p>
    <w:p w:rsidR="00EF1914" w:rsidRPr="006D4582" w:rsidRDefault="00EF1914" w:rsidP="00665BB2">
      <w:pPr>
        <w:pStyle w:val="Prrafodelista"/>
        <w:numPr>
          <w:ilvl w:val="0"/>
          <w:numId w:val="2"/>
        </w:numPr>
        <w:spacing w:after="120" w:line="360" w:lineRule="auto"/>
        <w:ind w:left="426" w:right="49"/>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EF1914" w:rsidRPr="003A2E6A" w:rsidRDefault="00EF1914" w:rsidP="00EF1914">
      <w:pPr>
        <w:spacing w:after="120" w:line="360" w:lineRule="auto"/>
        <w:ind w:left="426" w:right="49"/>
        <w:contextualSpacing/>
        <w:jc w:val="both"/>
        <w:rPr>
          <w:rFonts w:ascii="Palatino Linotype" w:hAnsi="Palatino Linotype" w:cs="Arial"/>
          <w:b/>
          <w:color w:val="000000" w:themeColor="text1"/>
        </w:rPr>
      </w:pPr>
    </w:p>
    <w:p w:rsidR="00EF1914" w:rsidRPr="006D4582" w:rsidRDefault="00EF1914" w:rsidP="00EF1914">
      <w:pPr>
        <w:spacing w:after="120" w:line="360" w:lineRule="auto"/>
        <w:ind w:left="426" w:right="49"/>
        <w:contextualSpacing/>
        <w:jc w:val="both"/>
        <w:rPr>
          <w:rFonts w:ascii="Palatino Linotype" w:hAnsi="Palatino Linotype" w:cs="Arial"/>
          <w:b/>
          <w:color w:val="000000" w:themeColor="text1"/>
          <w:sz w:val="24"/>
        </w:rPr>
      </w:pPr>
      <w:r w:rsidRPr="006D4582">
        <w:rPr>
          <w:rFonts w:ascii="Palatino Linotype" w:hAnsi="Palatino Linotype" w:cs="Arial"/>
          <w:b/>
          <w:color w:val="000000" w:themeColor="text1"/>
          <w:sz w:val="24"/>
        </w:rPr>
        <w:t>Requisitos previos.</w:t>
      </w:r>
    </w:p>
    <w:p w:rsidR="00EF1914" w:rsidRPr="006D4582" w:rsidRDefault="00EF1914" w:rsidP="00665BB2">
      <w:pPr>
        <w:pStyle w:val="Prrafodelista"/>
        <w:numPr>
          <w:ilvl w:val="0"/>
          <w:numId w:val="2"/>
        </w:numPr>
        <w:spacing w:after="120" w:line="360" w:lineRule="auto"/>
        <w:ind w:left="426" w:right="49" w:hanging="502"/>
        <w:jc w:val="both"/>
        <w:rPr>
          <w:rFonts w:ascii="Palatino Linotype" w:hAnsi="Palatino Linotype" w:cs="Arial"/>
          <w:color w:val="000000"/>
          <w:sz w:val="24"/>
        </w:rPr>
      </w:pPr>
      <w:r w:rsidRPr="006D4582">
        <w:rPr>
          <w:rFonts w:ascii="Palatino Linotype" w:hAnsi="Palatino Linotype" w:cs="Arial"/>
          <w:color w:val="000000"/>
          <w:sz w:val="24"/>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w:t>
      </w:r>
      <w:r w:rsidRPr="006D4582">
        <w:rPr>
          <w:rFonts w:ascii="Palatino Linotype" w:hAnsi="Palatino Linotype" w:cs="Arial"/>
          <w:color w:val="000000"/>
          <w:sz w:val="24"/>
        </w:rPr>
        <w:lastRenderedPageBreak/>
        <w:t>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EF1914" w:rsidRPr="006D4582" w:rsidRDefault="00EF1914" w:rsidP="00EF1914">
      <w:pPr>
        <w:spacing w:after="120" w:line="360" w:lineRule="auto"/>
        <w:ind w:left="284" w:right="49"/>
        <w:contextualSpacing/>
        <w:jc w:val="both"/>
        <w:rPr>
          <w:rFonts w:ascii="Palatino Linotype" w:hAnsi="Palatino Linotype" w:cs="Arial"/>
          <w:color w:val="000000"/>
          <w:sz w:val="24"/>
        </w:rPr>
      </w:pPr>
    </w:p>
    <w:p w:rsidR="00EF1914" w:rsidRPr="006D4582" w:rsidRDefault="00EF1914" w:rsidP="00665BB2">
      <w:pPr>
        <w:numPr>
          <w:ilvl w:val="0"/>
          <w:numId w:val="2"/>
        </w:numPr>
        <w:spacing w:after="120" w:line="360" w:lineRule="auto"/>
        <w:ind w:left="284" w:right="49" w:hanging="426"/>
        <w:contextualSpacing/>
        <w:jc w:val="both"/>
        <w:rPr>
          <w:rFonts w:ascii="Palatino Linotype" w:hAnsi="Palatino Linotype" w:cs="Arial"/>
          <w:color w:val="000000"/>
          <w:sz w:val="24"/>
        </w:rPr>
      </w:pPr>
      <w:r w:rsidRPr="006D4582">
        <w:rPr>
          <w:rFonts w:ascii="Palatino Linotype" w:hAnsi="Palatino Linotype" w:cs="Arial"/>
          <w:color w:val="000000" w:themeColor="text1"/>
          <w:sz w:val="24"/>
        </w:rPr>
        <w:t xml:space="preserve">Además, se debe señalar el procedimiento, de los tres que establecen los artículos 132 y 106 de la Ley Estatal y General, </w:t>
      </w:r>
      <w:r w:rsidRPr="006D4582">
        <w:rPr>
          <w:rFonts w:ascii="Palatino Linotype" w:hAnsi="Palatino Linotype" w:cs="Arial"/>
          <w:color w:val="000000"/>
          <w:sz w:val="24"/>
        </w:rPr>
        <w:t>respectivamente</w:t>
      </w:r>
      <w:r w:rsidRPr="006D4582">
        <w:rPr>
          <w:rFonts w:ascii="Palatino Linotype" w:hAnsi="Palatino Linotype" w:cs="Arial"/>
          <w:color w:val="000000" w:themeColor="text1"/>
          <w:sz w:val="24"/>
        </w:rPr>
        <w:t>, por el que se realiza dicha clasificación, a saber, cuando se atiende una solicitud de acceso a la información, porque lo determina una autoridad competente o porque se va a generar una versión pública para cumplir con sus obligaciones.</w:t>
      </w:r>
    </w:p>
    <w:p w:rsidR="00EF1914" w:rsidRPr="006D4582" w:rsidRDefault="00EF1914" w:rsidP="00EF1914">
      <w:pPr>
        <w:pStyle w:val="Prrafodelista"/>
        <w:rPr>
          <w:rFonts w:ascii="Palatino Linotype" w:hAnsi="Palatino Linotype" w:cs="Arial"/>
          <w:color w:val="000000" w:themeColor="text1"/>
          <w:sz w:val="24"/>
        </w:rPr>
      </w:pPr>
    </w:p>
    <w:p w:rsidR="00EF1914" w:rsidRPr="006D4582" w:rsidRDefault="00EF1914" w:rsidP="00665BB2">
      <w:pPr>
        <w:numPr>
          <w:ilvl w:val="0"/>
          <w:numId w:val="2"/>
        </w:numPr>
        <w:spacing w:after="120" w:line="360" w:lineRule="auto"/>
        <w:ind w:left="284" w:right="49" w:hanging="426"/>
        <w:contextualSpacing/>
        <w:jc w:val="both"/>
        <w:rPr>
          <w:rFonts w:ascii="Palatino Linotype" w:hAnsi="Palatino Linotype" w:cs="Arial"/>
          <w:color w:val="000000"/>
          <w:sz w:val="24"/>
        </w:rPr>
      </w:pPr>
      <w:r w:rsidRPr="006D4582">
        <w:rPr>
          <w:rFonts w:ascii="Palatino Linotype" w:hAnsi="Palatino Linotype" w:cs="Arial"/>
          <w:color w:val="000000" w:themeColor="text1"/>
          <w:sz w:val="24"/>
        </w:rPr>
        <w:t xml:space="preserve">El último de estos requisitos previos consiste en que no se pueden emitir acuerdos de carácter general ni particular, según lo disponen los artículos 134 y 108 de la Ley Estatal y de la Ley General, respectivamente, esto es, </w:t>
      </w:r>
      <w:r w:rsidRPr="006D4582">
        <w:rPr>
          <w:rFonts w:ascii="Palatino Linotype" w:hAnsi="Palatino Linotype" w:cs="Arial"/>
          <w:b/>
          <w:color w:val="000000" w:themeColor="text1"/>
          <w:sz w:val="24"/>
          <w:u w:val="single"/>
        </w:rPr>
        <w:t xml:space="preserve">no se puede hacer un acuerdo para clasificar de manera general todos los documentos de un expediente o área,  </w:t>
      </w:r>
      <w:r w:rsidRPr="006D4582">
        <w:rPr>
          <w:rFonts w:ascii="Palatino Linotype" w:hAnsi="Palatino Linotype" w:cs="Arial"/>
          <w:color w:val="000000" w:themeColor="text1"/>
          <w:sz w:val="24"/>
        </w:rPr>
        <w:t>sin individualizar su análisis y tampoco se puede hacer un acuerdo por cada dato que se vaya a clasificar dentro de un documento con diez datos, por ejemplo, susceptibles de ser clasificados.</w:t>
      </w:r>
    </w:p>
    <w:p w:rsidR="00EF1914" w:rsidRPr="006D4582" w:rsidRDefault="00EF1914" w:rsidP="00EF1914">
      <w:pPr>
        <w:spacing w:after="120" w:line="360" w:lineRule="auto"/>
        <w:ind w:left="426" w:right="49"/>
        <w:contextualSpacing/>
        <w:jc w:val="both"/>
        <w:rPr>
          <w:rFonts w:ascii="Palatino Linotype" w:hAnsi="Palatino Linotype" w:cs="Arial"/>
          <w:b/>
          <w:color w:val="000000" w:themeColor="text1"/>
          <w:sz w:val="24"/>
        </w:rPr>
      </w:pPr>
    </w:p>
    <w:p w:rsidR="00EF1914" w:rsidRPr="006D4582" w:rsidRDefault="00EF1914" w:rsidP="00EF1914">
      <w:pPr>
        <w:spacing w:after="120" w:line="360" w:lineRule="auto"/>
        <w:ind w:left="426" w:right="49"/>
        <w:contextualSpacing/>
        <w:jc w:val="both"/>
        <w:rPr>
          <w:rFonts w:ascii="Palatino Linotype" w:hAnsi="Palatino Linotype" w:cs="Arial"/>
          <w:b/>
          <w:color w:val="000000" w:themeColor="text1"/>
          <w:sz w:val="24"/>
        </w:rPr>
      </w:pPr>
      <w:r w:rsidRPr="006D4582">
        <w:rPr>
          <w:rFonts w:ascii="Palatino Linotype" w:hAnsi="Palatino Linotype" w:cs="Arial"/>
          <w:b/>
          <w:color w:val="000000" w:themeColor="text1"/>
          <w:sz w:val="24"/>
        </w:rPr>
        <w:t>Supuestos de clasificación</w:t>
      </w: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lastRenderedPageBreak/>
        <w:t>Las disposiciones constitucionales y legales en la materia establecen los dos supuestos generales para clasificar la información: por reserva y por confidencialidad.</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Los artículos 143 y 116 de la Ley Estatal y de la Ley General, respectivamente, señalan los supuestos para que la información pueda ser clasificada como confidencial:</w:t>
      </w:r>
    </w:p>
    <w:p w:rsidR="00EF1914" w:rsidRPr="003A2E6A" w:rsidRDefault="00EF1914" w:rsidP="00EF1914">
      <w:pPr>
        <w:spacing w:after="120" w:line="360" w:lineRule="auto"/>
        <w:ind w:left="993" w:right="474"/>
        <w:contextualSpacing/>
        <w:jc w:val="both"/>
        <w:rPr>
          <w:rFonts w:ascii="Palatino Linotype" w:hAnsi="Palatino Linotype" w:cs="Arial"/>
          <w:i/>
          <w:color w:val="000000" w:themeColor="text1"/>
        </w:rPr>
      </w:pPr>
      <w:r w:rsidRPr="003A2E6A">
        <w:rPr>
          <w:rFonts w:ascii="Palatino Linotype" w:hAnsi="Palatino Linotype" w:cs="Arial"/>
          <w:bCs/>
          <w:i/>
          <w:color w:val="000000" w:themeColor="text1"/>
        </w:rPr>
        <w:t xml:space="preserve">I. </w:t>
      </w:r>
      <w:r w:rsidRPr="003A2E6A">
        <w:rPr>
          <w:rFonts w:ascii="Palatino Linotype" w:hAnsi="Palatino Linotype" w:cs="Arial"/>
          <w:i/>
          <w:color w:val="000000" w:themeColor="text1"/>
        </w:rPr>
        <w:t xml:space="preserve">Se refiera a la información privada y los datos personales concernientes a una persona física o jurídica colectiva identificada o identificable; </w:t>
      </w:r>
    </w:p>
    <w:p w:rsidR="00EF1914" w:rsidRPr="003A2E6A" w:rsidRDefault="00EF1914" w:rsidP="00EF1914">
      <w:pPr>
        <w:spacing w:after="120" w:line="360" w:lineRule="auto"/>
        <w:ind w:left="993" w:right="474"/>
        <w:contextualSpacing/>
        <w:jc w:val="both"/>
        <w:rPr>
          <w:rFonts w:ascii="Palatino Linotype" w:hAnsi="Palatino Linotype" w:cs="Arial"/>
          <w:i/>
          <w:color w:val="000000" w:themeColor="text1"/>
        </w:rPr>
      </w:pPr>
      <w:r w:rsidRPr="003A2E6A">
        <w:rPr>
          <w:rFonts w:ascii="Palatino Linotype" w:hAnsi="Palatino Linotype" w:cs="Arial"/>
          <w:bCs/>
          <w:i/>
          <w:color w:val="000000" w:themeColor="text1"/>
        </w:rPr>
        <w:t xml:space="preserve">II. </w:t>
      </w:r>
      <w:r w:rsidRPr="003A2E6A">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EF1914" w:rsidRPr="003A2E6A" w:rsidRDefault="00EF1914" w:rsidP="00EF1914">
      <w:pPr>
        <w:spacing w:after="120" w:line="360" w:lineRule="auto"/>
        <w:ind w:left="993" w:right="474"/>
        <w:contextualSpacing/>
        <w:jc w:val="both"/>
        <w:rPr>
          <w:rFonts w:ascii="Palatino Linotype" w:hAnsi="Palatino Linotype" w:cs="Arial"/>
          <w:i/>
          <w:color w:val="000000" w:themeColor="text1"/>
        </w:rPr>
      </w:pPr>
      <w:r w:rsidRPr="003A2E6A">
        <w:rPr>
          <w:rFonts w:ascii="Palatino Linotype" w:hAnsi="Palatino Linotype" w:cs="Arial"/>
          <w:bCs/>
          <w:i/>
          <w:color w:val="000000" w:themeColor="text1"/>
        </w:rPr>
        <w:t xml:space="preserve">III. </w:t>
      </w:r>
      <w:r w:rsidRPr="003A2E6A">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EF1914" w:rsidRPr="003A2E6A" w:rsidRDefault="00EF1914" w:rsidP="00EF1914">
      <w:pPr>
        <w:spacing w:after="120" w:line="360" w:lineRule="auto"/>
        <w:ind w:left="993" w:right="474"/>
        <w:contextualSpacing/>
        <w:jc w:val="both"/>
        <w:rPr>
          <w:rFonts w:ascii="Palatino Linotype" w:hAnsi="Palatino Linotype" w:cs="Arial"/>
          <w:i/>
          <w:color w:val="000000" w:themeColor="text1"/>
        </w:rPr>
      </w:pPr>
      <w:r w:rsidRPr="003A2E6A">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EF1914" w:rsidRPr="003A2E6A" w:rsidRDefault="00EF1914" w:rsidP="00EF1914">
      <w:pPr>
        <w:spacing w:after="120" w:line="360" w:lineRule="auto"/>
        <w:ind w:left="993" w:right="474"/>
        <w:contextualSpacing/>
        <w:jc w:val="both"/>
        <w:rPr>
          <w:rFonts w:ascii="Palatino Linotype" w:hAnsi="Palatino Linotype" w:cs="Arial"/>
          <w:i/>
          <w:color w:val="000000" w:themeColor="text1"/>
        </w:rPr>
      </w:pPr>
      <w:r w:rsidRPr="003A2E6A">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rsidR="00EF1914" w:rsidRPr="003A2E6A" w:rsidRDefault="00EF1914" w:rsidP="00EF1914">
      <w:pPr>
        <w:spacing w:after="120" w:line="360" w:lineRule="auto"/>
        <w:ind w:left="426" w:right="49"/>
        <w:contextualSpacing/>
        <w:jc w:val="both"/>
        <w:rPr>
          <w:rFonts w:ascii="Palatino Linotype" w:hAnsi="Palatino Linotype" w:cs="Arial"/>
          <w:i/>
          <w:color w:val="000000" w:themeColor="text1"/>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 xml:space="preserve">Mientras que los artículos 130 y 105 de la Ley Estatal y de la Ley General, respectivamente, señalan que la aplicación de estos supuestos debe de realizarse de manera restrictiva y limitada, por lo que debe acreditarse que se </w:t>
      </w:r>
      <w:r w:rsidRPr="006D4582">
        <w:rPr>
          <w:rFonts w:ascii="Palatino Linotype" w:hAnsi="Palatino Linotype" w:cs="Arial"/>
          <w:color w:val="000000" w:themeColor="text1"/>
          <w:sz w:val="24"/>
        </w:rPr>
        <w:lastRenderedPageBreak/>
        <w:t>cumple con esta condición y no se pueden ampliar las excepciones o supuestos de clasificación aduciendo analogía o mayoría de razón.</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Como consecuencia de lo anterior, el Sujeto Obligado debe identificar claramente el tipo de información y hacer un juicio de subsunción o encaje</w:t>
      </w:r>
      <w:r w:rsidRPr="006D4582">
        <w:rPr>
          <w:rFonts w:ascii="Palatino Linotype" w:hAnsi="Palatino Linotype" w:cs="Arial"/>
          <w:color w:val="000000" w:themeColor="text1"/>
          <w:sz w:val="24"/>
          <w:vertAlign w:val="superscript"/>
        </w:rPr>
        <w:footnoteReference w:id="10"/>
      </w:r>
      <w:r w:rsidRPr="006D4582">
        <w:rPr>
          <w:rFonts w:ascii="Palatino Linotype" w:hAnsi="Palatino Linotype" w:cs="Arial"/>
          <w:color w:val="000000" w:themeColor="text1"/>
          <w:sz w:val="24"/>
        </w:rPr>
        <w:t xml:space="preserve"> para acreditar que el supuesto de hecho corresponde estrictamente con la hipótesis jurídica. Esto también lo debe de realizar el servidor público habilitado y el titular del área que administra la información.</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EF1914">
      <w:pPr>
        <w:spacing w:after="120" w:line="360" w:lineRule="auto"/>
        <w:ind w:left="426" w:right="49"/>
        <w:contextualSpacing/>
        <w:jc w:val="both"/>
        <w:rPr>
          <w:rFonts w:ascii="Palatino Linotype" w:hAnsi="Palatino Linotype" w:cs="Arial"/>
          <w:b/>
          <w:color w:val="000000" w:themeColor="text1"/>
          <w:sz w:val="24"/>
        </w:rPr>
      </w:pPr>
      <w:r w:rsidRPr="006D4582">
        <w:rPr>
          <w:rFonts w:ascii="Palatino Linotype" w:hAnsi="Palatino Linotype" w:cs="Arial"/>
          <w:b/>
          <w:color w:val="000000" w:themeColor="text1"/>
          <w:sz w:val="24"/>
        </w:rPr>
        <w:t>Formalidades para emitir el acuerdo de clasificación.</w:t>
      </w: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6D4582">
        <w:rPr>
          <w:rFonts w:ascii="Palatino Linotype" w:hAnsi="Palatino Linotype" w:cs="Arial"/>
          <w:color w:val="000000" w:themeColor="text1"/>
          <w:sz w:val="24"/>
        </w:rPr>
        <w:lastRenderedPageBreak/>
        <w:t>públicas, en adelante los Lineamientos Generales, cuenta con las facultades para aprobar, modificar o revocar la clasificación de la información que haya propuesto. Por lo tanto, el Comité aprueba modifica o revoca la clasificación.</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 xml:space="preserve">Evidentemente, esta decisión implica una restricción a un derecho humano, por lo tanto, puede generar un agravio al particular y, en consecuencia, es necesario que </w:t>
      </w:r>
      <w:r w:rsidRPr="006D4582">
        <w:rPr>
          <w:rFonts w:ascii="Palatino Linotype" w:hAnsi="Palatino Linotype" w:cs="Arial"/>
          <w:b/>
          <w:color w:val="000000" w:themeColor="text1"/>
          <w:sz w:val="24"/>
          <w:u w:val="single"/>
        </w:rPr>
        <w:t>el acto reúna con los requisitos elementales</w:t>
      </w:r>
      <w:r w:rsidRPr="006D4582">
        <w:rPr>
          <w:rFonts w:ascii="Palatino Linotype" w:hAnsi="Palatino Linotype" w:cs="Arial"/>
          <w:color w:val="000000" w:themeColor="text1"/>
          <w:sz w:val="24"/>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w:t>
      </w:r>
      <w:r w:rsidRPr="006D4582">
        <w:rPr>
          <w:rFonts w:ascii="Palatino Linotype" w:hAnsi="Palatino Linotype" w:cs="Arial"/>
          <w:color w:val="000000" w:themeColor="text1"/>
          <w:sz w:val="24"/>
        </w:rPr>
        <w:lastRenderedPageBreak/>
        <w:t xml:space="preserve">previamente por los titulares de áreas y que son sujetas a control, en primera instancia, por el Comité de Transparencia. </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r w:rsidRPr="006D4582">
        <w:rPr>
          <w:rFonts w:ascii="Palatino Linotype" w:hAnsi="Palatino Linotype" w:cs="Arial"/>
          <w:b/>
          <w:color w:val="000000" w:themeColor="text1"/>
          <w:sz w:val="24"/>
        </w:rPr>
        <w:t>Requisitos</w:t>
      </w:r>
      <w:r w:rsidRPr="006D4582">
        <w:rPr>
          <w:rFonts w:ascii="Palatino Linotype" w:hAnsi="Palatino Linotype" w:cs="Arial"/>
          <w:color w:val="000000" w:themeColor="text1"/>
          <w:sz w:val="24"/>
        </w:rPr>
        <w:t xml:space="preserve"> </w:t>
      </w:r>
      <w:r w:rsidRPr="006D4582">
        <w:rPr>
          <w:rFonts w:ascii="Palatino Linotype" w:hAnsi="Palatino Linotype" w:cs="Arial"/>
          <w:b/>
          <w:color w:val="000000" w:themeColor="text1"/>
          <w:sz w:val="24"/>
        </w:rPr>
        <w:t>de fondo del acuerdo de clasificación</w:t>
      </w: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 xml:space="preserve">De lo anterior, se desprende que para una correcta </w:t>
      </w:r>
      <w:r w:rsidRPr="006D4582">
        <w:rPr>
          <w:rFonts w:ascii="Palatino Linotype" w:hAnsi="Palatino Linotype" w:cs="Arial"/>
          <w:b/>
          <w:color w:val="000000" w:themeColor="text1"/>
          <w:sz w:val="24"/>
        </w:rPr>
        <w:t>clasificación total o parcial</w:t>
      </w:r>
      <w:r w:rsidRPr="006D4582">
        <w:rPr>
          <w:rFonts w:ascii="Palatino Linotype" w:hAnsi="Palatino Linotype" w:cs="Arial"/>
          <w:color w:val="000000" w:themeColor="text1"/>
          <w:sz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D4582">
        <w:rPr>
          <w:rFonts w:ascii="Palatino Linotype" w:hAnsi="Palatino Linotype" w:cs="Arial"/>
          <w:color w:val="000000" w:themeColor="text1"/>
          <w:sz w:val="24"/>
          <w:vertAlign w:val="superscript"/>
        </w:rPr>
        <w:footnoteReference w:id="11"/>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Por su parte, el intérprete judicial del país ha establecido una jurisprudencia respecto a qué debe entenderse por fundamentación y motivación, en los siguientes términos:</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3A2E6A" w:rsidRDefault="00EF1914" w:rsidP="002017B2">
      <w:pPr>
        <w:spacing w:after="0" w:line="240" w:lineRule="auto"/>
        <w:ind w:left="851" w:right="616"/>
        <w:jc w:val="both"/>
        <w:rPr>
          <w:rFonts w:ascii="Palatino Linotype" w:hAnsi="Palatino Linotype" w:cs="Arial"/>
          <w:i/>
          <w:color w:val="000000" w:themeColor="text1"/>
        </w:rPr>
      </w:pPr>
      <w:r w:rsidRPr="003A2E6A">
        <w:rPr>
          <w:rFonts w:ascii="Palatino Linotype" w:hAnsi="Palatino Linotype" w:cs="Arial"/>
          <w:b/>
          <w:i/>
          <w:color w:val="000000" w:themeColor="text1"/>
        </w:rPr>
        <w:t>FUNDAMENTACIÓN Y MOTIVACIÓN.</w:t>
      </w:r>
      <w:r w:rsidRPr="003A2E6A">
        <w:rPr>
          <w:rFonts w:ascii="Palatino Linotype" w:hAnsi="Palatino Linotype" w:cs="Arial"/>
          <w:i/>
          <w:color w:val="000000" w:themeColor="text1"/>
        </w:rPr>
        <w:t xml:space="preserve"> La </w:t>
      </w:r>
      <w:r w:rsidRPr="003A2E6A">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A2E6A">
        <w:rPr>
          <w:rFonts w:ascii="Palatino Linotype" w:hAnsi="Palatino Linotype" w:cs="Arial"/>
          <w:i/>
          <w:color w:val="000000" w:themeColor="text1"/>
        </w:rPr>
        <w:t>.</w:t>
      </w:r>
    </w:p>
    <w:p w:rsidR="00EF1914" w:rsidRPr="003A2E6A" w:rsidRDefault="00EF1914" w:rsidP="002017B2">
      <w:pPr>
        <w:spacing w:after="0" w:line="240" w:lineRule="auto"/>
        <w:ind w:left="851" w:right="567"/>
        <w:jc w:val="both"/>
        <w:rPr>
          <w:rFonts w:ascii="Palatino Linotype" w:hAnsi="Palatino Linotype" w:cs="Arial"/>
          <w:i/>
          <w:color w:val="000000" w:themeColor="text1"/>
        </w:rPr>
      </w:pPr>
      <w:r w:rsidRPr="003A2E6A">
        <w:rPr>
          <w:rFonts w:ascii="Palatino Linotype" w:hAnsi="Palatino Linotype" w:cs="Arial"/>
          <w:i/>
          <w:color w:val="000000" w:themeColor="text1"/>
        </w:rPr>
        <w:t>SEGUNDO TRIBUNAL COLEGIADO DEL SEXTO CIRCUITO.</w:t>
      </w:r>
    </w:p>
    <w:p w:rsidR="00EF1914" w:rsidRPr="003A2E6A" w:rsidRDefault="00EF1914" w:rsidP="002017B2">
      <w:pPr>
        <w:spacing w:after="0" w:line="240" w:lineRule="auto"/>
        <w:ind w:left="851" w:right="567"/>
        <w:jc w:val="both"/>
        <w:rPr>
          <w:rFonts w:ascii="Palatino Linotype" w:hAnsi="Palatino Linotype" w:cs="Arial"/>
          <w:i/>
          <w:color w:val="000000" w:themeColor="text1"/>
        </w:rPr>
      </w:pPr>
      <w:r w:rsidRPr="003A2E6A">
        <w:rPr>
          <w:rFonts w:ascii="Palatino Linotype" w:hAnsi="Palatino Linotype" w:cs="Arial"/>
          <w:i/>
          <w:color w:val="000000" w:themeColor="text1"/>
        </w:rPr>
        <w:lastRenderedPageBreak/>
        <w:t>Amparo directo 194/88. Bufete Industrial Construcciones, S.A. de C.V. 28 de junio de 1988. Unanimidad de votos. Ponente: Gustavo Calvillo Rangel. Secretario: Jorge Alberto González Álvarez.</w:t>
      </w:r>
    </w:p>
    <w:p w:rsidR="00EF1914" w:rsidRPr="003A2E6A" w:rsidRDefault="00EF1914" w:rsidP="002017B2">
      <w:pPr>
        <w:spacing w:after="0" w:line="240" w:lineRule="auto"/>
        <w:ind w:left="851" w:right="567"/>
        <w:jc w:val="both"/>
        <w:rPr>
          <w:rFonts w:ascii="Palatino Linotype" w:hAnsi="Palatino Linotype" w:cs="Arial"/>
          <w:i/>
          <w:color w:val="000000" w:themeColor="text1"/>
        </w:rPr>
      </w:pPr>
      <w:r w:rsidRPr="003A2E6A">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3A2E6A">
        <w:rPr>
          <w:rFonts w:ascii="Palatino Linotype" w:hAnsi="Palatino Linotype" w:cs="Arial"/>
          <w:i/>
          <w:color w:val="000000" w:themeColor="text1"/>
        </w:rPr>
        <w:t>Esponda</w:t>
      </w:r>
      <w:proofErr w:type="spellEnd"/>
      <w:r w:rsidRPr="003A2E6A">
        <w:rPr>
          <w:rFonts w:ascii="Palatino Linotype" w:hAnsi="Palatino Linotype" w:cs="Arial"/>
          <w:i/>
          <w:color w:val="000000" w:themeColor="text1"/>
        </w:rPr>
        <w:t xml:space="preserve"> Rincón.</w:t>
      </w:r>
    </w:p>
    <w:p w:rsidR="00EF1914" w:rsidRPr="003A2E6A" w:rsidRDefault="00EF1914" w:rsidP="002017B2">
      <w:pPr>
        <w:spacing w:after="0" w:line="240" w:lineRule="auto"/>
        <w:ind w:left="851" w:right="567"/>
        <w:jc w:val="both"/>
        <w:rPr>
          <w:rFonts w:ascii="Palatino Linotype" w:hAnsi="Palatino Linotype" w:cs="Arial"/>
          <w:i/>
          <w:color w:val="000000" w:themeColor="text1"/>
        </w:rPr>
      </w:pPr>
      <w:r w:rsidRPr="003A2E6A">
        <w:rPr>
          <w:rFonts w:ascii="Palatino Linotype" w:hAnsi="Palatino Linotype" w:cs="Arial"/>
          <w:i/>
          <w:color w:val="000000" w:themeColor="text1"/>
        </w:rPr>
        <w:t xml:space="preserve">Amparo en revisión 333/88. </w:t>
      </w:r>
      <w:proofErr w:type="spellStart"/>
      <w:r w:rsidRPr="003A2E6A">
        <w:rPr>
          <w:rFonts w:ascii="Palatino Linotype" w:hAnsi="Palatino Linotype" w:cs="Arial"/>
          <w:i/>
          <w:color w:val="000000" w:themeColor="text1"/>
        </w:rPr>
        <w:t>Adilia</w:t>
      </w:r>
      <w:proofErr w:type="spellEnd"/>
      <w:r w:rsidRPr="003A2E6A">
        <w:rPr>
          <w:rFonts w:ascii="Palatino Linotype" w:hAnsi="Palatino Linotype" w:cs="Arial"/>
          <w:i/>
          <w:color w:val="000000" w:themeColor="text1"/>
        </w:rPr>
        <w:t xml:space="preserve"> Romero. 26 de octubre de 1988. Unanimidad de votos. Ponente: Arnoldo Nájera Virgen. Secretario: Enrique Crispín Campos Ramírez.</w:t>
      </w:r>
    </w:p>
    <w:p w:rsidR="00EF1914" w:rsidRPr="003A2E6A" w:rsidRDefault="00EF1914" w:rsidP="002017B2">
      <w:pPr>
        <w:spacing w:after="0" w:line="240" w:lineRule="auto"/>
        <w:ind w:left="851" w:right="567"/>
        <w:jc w:val="both"/>
        <w:rPr>
          <w:rFonts w:ascii="Palatino Linotype" w:hAnsi="Palatino Linotype" w:cs="Arial"/>
          <w:i/>
          <w:color w:val="000000" w:themeColor="text1"/>
        </w:rPr>
      </w:pPr>
      <w:r w:rsidRPr="003A2E6A">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3A2E6A">
        <w:rPr>
          <w:rFonts w:ascii="Palatino Linotype" w:hAnsi="Palatino Linotype" w:cs="Arial"/>
          <w:i/>
          <w:color w:val="000000" w:themeColor="text1"/>
        </w:rPr>
        <w:t>Goyzueta</w:t>
      </w:r>
      <w:proofErr w:type="spellEnd"/>
      <w:r w:rsidRPr="003A2E6A">
        <w:rPr>
          <w:rFonts w:ascii="Palatino Linotype" w:hAnsi="Palatino Linotype" w:cs="Arial"/>
          <w:i/>
          <w:color w:val="000000" w:themeColor="text1"/>
        </w:rPr>
        <w:t>. Secretario: Gonzalo Carrera Molina.</w:t>
      </w:r>
    </w:p>
    <w:p w:rsidR="00EF1914" w:rsidRPr="003A2E6A" w:rsidRDefault="00EF1914" w:rsidP="002017B2">
      <w:pPr>
        <w:spacing w:after="0" w:line="240" w:lineRule="auto"/>
        <w:ind w:left="851" w:right="567"/>
        <w:jc w:val="both"/>
        <w:rPr>
          <w:rFonts w:ascii="Palatino Linotype" w:hAnsi="Palatino Linotype" w:cs="Arial"/>
          <w:i/>
          <w:color w:val="000000" w:themeColor="text1"/>
        </w:rPr>
      </w:pPr>
      <w:r w:rsidRPr="003A2E6A">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3A2E6A">
        <w:rPr>
          <w:rFonts w:ascii="Palatino Linotype" w:hAnsi="Palatino Linotype" w:cs="Arial"/>
          <w:i/>
          <w:color w:val="000000" w:themeColor="text1"/>
        </w:rPr>
        <w:t>Baigts</w:t>
      </w:r>
      <w:proofErr w:type="spellEnd"/>
      <w:r w:rsidRPr="003A2E6A">
        <w:rPr>
          <w:rFonts w:ascii="Palatino Linotype" w:hAnsi="Palatino Linotype" w:cs="Arial"/>
          <w:i/>
          <w:color w:val="000000" w:themeColor="text1"/>
        </w:rPr>
        <w:t xml:space="preserve"> Muñoz.</w:t>
      </w:r>
    </w:p>
    <w:p w:rsidR="00EF1914" w:rsidRPr="003A2E6A" w:rsidRDefault="00EF1914" w:rsidP="00EF1914">
      <w:pPr>
        <w:spacing w:line="276" w:lineRule="auto"/>
        <w:ind w:left="426" w:right="49"/>
        <w:contextualSpacing/>
        <w:jc w:val="both"/>
        <w:rPr>
          <w:rFonts w:ascii="Palatino Linotype" w:hAnsi="Palatino Linotype" w:cs="Arial"/>
          <w:color w:val="000000" w:themeColor="text1"/>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lastRenderedPageBreak/>
        <w:t>En ese mismo sentido, el numeral trigésimo tercero fracción V de los Lineamientos Generales, precisa que para motivar la clasificación se deben acreditar las circunstancias de tiempo, modo y lugar.</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 xml:space="preserve">Ahora bien, </w:t>
      </w:r>
      <w:r w:rsidRPr="006D4582">
        <w:rPr>
          <w:rFonts w:ascii="Palatino Linotype" w:hAnsi="Palatino Linotype" w:cs="Arial"/>
          <w:b/>
          <w:color w:val="000000" w:themeColor="text1"/>
          <w:sz w:val="24"/>
          <w:u w:val="single"/>
        </w:rPr>
        <w:t>para cada caso además de fundar y motivar</w:t>
      </w:r>
      <w:r w:rsidRPr="006D4582">
        <w:rPr>
          <w:rFonts w:ascii="Palatino Linotype" w:hAnsi="Palatino Linotype" w:cs="Arial"/>
          <w:color w:val="000000" w:themeColor="text1"/>
          <w:sz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6D4582">
        <w:rPr>
          <w:rFonts w:ascii="Palatino Linotype" w:hAnsi="Palatino Linotype" w:cs="Arial"/>
          <w:color w:val="000000" w:themeColor="text1"/>
          <w:sz w:val="24"/>
          <w:vertAlign w:val="superscript"/>
        </w:rPr>
        <w:footnoteReference w:id="12"/>
      </w:r>
      <w:r w:rsidRPr="006D4582">
        <w:rPr>
          <w:rFonts w:ascii="Palatino Linotype" w:hAnsi="Palatino Linotype" w:cs="Arial"/>
          <w:color w:val="000000" w:themeColor="text1"/>
          <w:sz w:val="24"/>
        </w:rPr>
        <w:t xml:space="preserve"> del servidor público que no tienen ninguna injerencia en el tema de la transparencia y la rendición de cuentas,  por ejemplo, Clave Única de Registro de Población (CURP), Registro Federal de Contribuyentes (R.F.C.), estos son datos susceptibles de clasificarse como confidenciales mediante una versión pública que deje a la vista los datos que ofrezcan la información requerida. </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 xml:space="preserve">Otro tipo de información confidencial constituyen los secretos bancario, fiduciario, industrial, comercial, fiscal, bursátil y postal, cuya titularidad corresponda a particulares, sujetos de derecho internacional o a sujetos </w:t>
      </w:r>
      <w:r w:rsidRPr="006D4582">
        <w:rPr>
          <w:rFonts w:ascii="Palatino Linotype" w:hAnsi="Palatino Linotype" w:cs="Arial"/>
          <w:color w:val="000000" w:themeColor="text1"/>
          <w:sz w:val="24"/>
        </w:rPr>
        <w:lastRenderedPageBreak/>
        <w:t>obligados cuando no involucren el ejercicio de recursos públicos, así lo define la fracción XXI del artículo 3 de la Ley Estatal.</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rPr>
      </w:pPr>
    </w:p>
    <w:p w:rsidR="00EF1914" w:rsidRPr="006D4582" w:rsidRDefault="00EF1914" w:rsidP="00EF1914">
      <w:pPr>
        <w:spacing w:after="120" w:line="360" w:lineRule="auto"/>
        <w:ind w:left="426" w:right="49"/>
        <w:contextualSpacing/>
        <w:jc w:val="both"/>
        <w:rPr>
          <w:rFonts w:ascii="Palatino Linotype" w:hAnsi="Palatino Linotype" w:cs="Arial"/>
          <w:b/>
          <w:color w:val="000000" w:themeColor="text1"/>
          <w:sz w:val="24"/>
        </w:rPr>
      </w:pPr>
      <w:r w:rsidRPr="006D4582">
        <w:rPr>
          <w:rFonts w:ascii="Palatino Linotype" w:hAnsi="Palatino Linotype" w:cs="Arial"/>
          <w:b/>
          <w:color w:val="000000" w:themeColor="text1"/>
          <w:sz w:val="24"/>
        </w:rPr>
        <w:t>Condiciones especiales de la clasificación de la información como confidencial.</w:t>
      </w: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rPr>
      </w:pPr>
      <w:r w:rsidRPr="006D4582">
        <w:rPr>
          <w:rFonts w:ascii="Palatino Linotype" w:hAnsi="Palatino Linotype" w:cs="Arial"/>
          <w:color w:val="000000" w:themeColor="text1"/>
          <w:sz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EF1914" w:rsidRPr="003A2E6A" w:rsidRDefault="00EF1914" w:rsidP="002017B2">
      <w:pPr>
        <w:spacing w:after="0" w:line="240" w:lineRule="auto"/>
        <w:ind w:left="851" w:right="760"/>
        <w:jc w:val="both"/>
        <w:rPr>
          <w:rFonts w:ascii="Palatino Linotype" w:hAnsi="Palatino Linotype" w:cs="Arial"/>
          <w:bCs/>
          <w:i/>
          <w:color w:val="000000" w:themeColor="text1"/>
        </w:rPr>
      </w:pPr>
      <w:r w:rsidRPr="003A2E6A">
        <w:rPr>
          <w:rFonts w:ascii="Palatino Linotype" w:hAnsi="Palatino Linotype" w:cs="Arial"/>
          <w:bCs/>
          <w:i/>
          <w:color w:val="000000" w:themeColor="text1"/>
        </w:rPr>
        <w:t>I.</w:t>
      </w:r>
      <w:r w:rsidRPr="003A2E6A">
        <w:rPr>
          <w:rFonts w:ascii="Palatino Linotype" w:hAnsi="Palatino Linotype" w:cs="Arial"/>
          <w:i/>
          <w:color w:val="000000" w:themeColor="text1"/>
        </w:rPr>
        <w:t xml:space="preserve"> La información se encuentre en registros públicos o fuentes de acceso público;</w:t>
      </w:r>
    </w:p>
    <w:p w:rsidR="00EF1914" w:rsidRPr="003A2E6A" w:rsidRDefault="00EF1914" w:rsidP="002017B2">
      <w:pPr>
        <w:spacing w:after="0" w:line="240" w:lineRule="auto"/>
        <w:ind w:left="851" w:right="760"/>
        <w:jc w:val="both"/>
        <w:rPr>
          <w:rFonts w:ascii="Palatino Linotype" w:hAnsi="Palatino Linotype" w:cs="Arial"/>
          <w:bCs/>
          <w:i/>
          <w:color w:val="000000" w:themeColor="text1"/>
        </w:rPr>
      </w:pPr>
      <w:r w:rsidRPr="003A2E6A">
        <w:rPr>
          <w:rFonts w:ascii="Palatino Linotype" w:hAnsi="Palatino Linotype" w:cs="Arial"/>
          <w:bCs/>
          <w:i/>
          <w:color w:val="000000" w:themeColor="text1"/>
        </w:rPr>
        <w:t xml:space="preserve">II. </w:t>
      </w:r>
      <w:r w:rsidRPr="003A2E6A">
        <w:rPr>
          <w:rFonts w:ascii="Palatino Linotype" w:hAnsi="Palatino Linotype" w:cs="Arial"/>
          <w:i/>
          <w:color w:val="000000" w:themeColor="text1"/>
        </w:rPr>
        <w:t>Por Ley tenga el carácter de pública;</w:t>
      </w:r>
    </w:p>
    <w:p w:rsidR="00EF1914" w:rsidRPr="003A2E6A" w:rsidRDefault="00EF1914" w:rsidP="002017B2">
      <w:pPr>
        <w:spacing w:after="0" w:line="240" w:lineRule="auto"/>
        <w:ind w:left="851" w:right="760"/>
        <w:jc w:val="both"/>
        <w:rPr>
          <w:rFonts w:ascii="Palatino Linotype" w:hAnsi="Palatino Linotype" w:cs="Arial"/>
          <w:i/>
          <w:color w:val="000000" w:themeColor="text1"/>
        </w:rPr>
      </w:pPr>
      <w:r w:rsidRPr="003A2E6A">
        <w:rPr>
          <w:rFonts w:ascii="Palatino Linotype" w:hAnsi="Palatino Linotype" w:cs="Arial"/>
          <w:bCs/>
          <w:i/>
          <w:color w:val="000000" w:themeColor="text1"/>
        </w:rPr>
        <w:t xml:space="preserve">III. </w:t>
      </w:r>
      <w:r w:rsidRPr="003A2E6A">
        <w:rPr>
          <w:rFonts w:ascii="Palatino Linotype" w:hAnsi="Palatino Linotype" w:cs="Arial"/>
          <w:i/>
          <w:color w:val="000000" w:themeColor="text1"/>
        </w:rPr>
        <w:t xml:space="preserve">Exista una orden judicial; </w:t>
      </w:r>
    </w:p>
    <w:p w:rsidR="00EF1914" w:rsidRPr="003A2E6A" w:rsidRDefault="00EF1914" w:rsidP="002017B2">
      <w:pPr>
        <w:spacing w:after="0" w:line="240" w:lineRule="auto"/>
        <w:ind w:left="851" w:right="760"/>
        <w:jc w:val="both"/>
        <w:rPr>
          <w:rFonts w:ascii="Palatino Linotype" w:hAnsi="Palatino Linotype" w:cs="Arial"/>
          <w:i/>
          <w:color w:val="000000" w:themeColor="text1"/>
        </w:rPr>
      </w:pPr>
      <w:r w:rsidRPr="003A2E6A">
        <w:rPr>
          <w:rFonts w:ascii="Palatino Linotype" w:hAnsi="Palatino Linotype" w:cs="Arial"/>
          <w:bCs/>
          <w:i/>
          <w:color w:val="000000" w:themeColor="text1"/>
        </w:rPr>
        <w:t xml:space="preserve">IV. </w:t>
      </w:r>
      <w:r w:rsidRPr="003A2E6A">
        <w:rPr>
          <w:rFonts w:ascii="Palatino Linotype" w:hAnsi="Palatino Linotype" w:cs="Arial"/>
          <w:i/>
          <w:color w:val="000000" w:themeColor="text1"/>
        </w:rPr>
        <w:t xml:space="preserve">Por razones de seguridad pública, o para proteger los derechos de terceros, se requiera su publicación; o </w:t>
      </w:r>
    </w:p>
    <w:p w:rsidR="00EF1914" w:rsidRPr="003A2E6A" w:rsidRDefault="00EF1914" w:rsidP="002017B2">
      <w:pPr>
        <w:spacing w:after="0" w:line="240" w:lineRule="auto"/>
        <w:ind w:left="851" w:right="760"/>
        <w:jc w:val="both"/>
        <w:rPr>
          <w:rFonts w:ascii="Palatino Linotype" w:hAnsi="Palatino Linotype" w:cs="Arial"/>
          <w:i/>
          <w:color w:val="000000" w:themeColor="text1"/>
        </w:rPr>
      </w:pPr>
      <w:r w:rsidRPr="003A2E6A">
        <w:rPr>
          <w:rFonts w:ascii="Palatino Linotype" w:hAnsi="Palatino Linotype" w:cs="Arial"/>
          <w:bCs/>
          <w:i/>
          <w:color w:val="000000" w:themeColor="text1"/>
        </w:rPr>
        <w:t xml:space="preserve">V. </w:t>
      </w:r>
      <w:r w:rsidRPr="003A2E6A">
        <w:rPr>
          <w:rFonts w:ascii="Palatino Linotype" w:hAnsi="Palatino Linotype" w:cs="Arial"/>
          <w:i/>
          <w:color w:val="000000" w:themeColor="text1"/>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EF1914" w:rsidRPr="003A2E6A" w:rsidRDefault="00EF1914" w:rsidP="00EF1914">
      <w:pPr>
        <w:spacing w:after="120" w:line="360" w:lineRule="auto"/>
        <w:ind w:left="426" w:right="49"/>
        <w:contextualSpacing/>
        <w:jc w:val="both"/>
        <w:rPr>
          <w:rFonts w:ascii="Palatino Linotype" w:hAnsi="Palatino Linotype" w:cs="Arial"/>
          <w:color w:val="000000" w:themeColor="text1"/>
        </w:rPr>
      </w:pPr>
    </w:p>
    <w:p w:rsidR="00EF1914" w:rsidRPr="006D4582" w:rsidRDefault="00EF1914" w:rsidP="00665BB2">
      <w:pPr>
        <w:numPr>
          <w:ilvl w:val="0"/>
          <w:numId w:val="2"/>
        </w:numPr>
        <w:spacing w:after="120" w:line="360" w:lineRule="auto"/>
        <w:ind w:left="426" w:right="49" w:hanging="426"/>
        <w:contextualSpacing/>
        <w:jc w:val="both"/>
        <w:rPr>
          <w:rFonts w:ascii="Palatino Linotype" w:hAnsi="Palatino Linotype" w:cs="Arial"/>
          <w:color w:val="000000" w:themeColor="text1"/>
          <w:sz w:val="24"/>
          <w:szCs w:val="24"/>
        </w:rPr>
      </w:pPr>
      <w:r w:rsidRPr="006D4582">
        <w:rPr>
          <w:rFonts w:ascii="Palatino Linotype" w:hAnsi="Palatino Linotype" w:cs="Arial"/>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F1914" w:rsidRPr="006D4582" w:rsidRDefault="00EF1914" w:rsidP="00EF1914">
      <w:pPr>
        <w:spacing w:after="120" w:line="360" w:lineRule="auto"/>
        <w:ind w:left="426" w:right="49"/>
        <w:contextualSpacing/>
        <w:jc w:val="both"/>
        <w:rPr>
          <w:rFonts w:ascii="Palatino Linotype" w:hAnsi="Palatino Linotype" w:cs="Arial"/>
          <w:color w:val="000000" w:themeColor="text1"/>
          <w:sz w:val="24"/>
          <w:szCs w:val="24"/>
        </w:rPr>
      </w:pPr>
    </w:p>
    <w:p w:rsidR="00EF1914" w:rsidRPr="006D4582" w:rsidRDefault="00EF1914" w:rsidP="00665BB2">
      <w:pPr>
        <w:numPr>
          <w:ilvl w:val="0"/>
          <w:numId w:val="2"/>
        </w:numPr>
        <w:spacing w:after="120" w:line="360" w:lineRule="auto"/>
        <w:ind w:left="426" w:right="49" w:hanging="426"/>
        <w:jc w:val="both"/>
        <w:rPr>
          <w:rFonts w:ascii="Palatino Linotype" w:eastAsia="MS Mincho" w:hAnsi="Palatino Linotype" w:cstheme="majorBidi"/>
          <w:sz w:val="24"/>
          <w:szCs w:val="24"/>
        </w:rPr>
      </w:pPr>
      <w:r w:rsidRPr="006D4582">
        <w:rPr>
          <w:rFonts w:ascii="Palatino Linotype" w:hAnsi="Palatino Linotype" w:cs="Arial"/>
          <w:color w:val="000000" w:themeColor="text1"/>
          <w:sz w:val="24"/>
          <w:szCs w:val="24"/>
        </w:rPr>
        <w:t xml:space="preserve">Pero si la información que se pretende clasificar como confidencial no se encuentra en los supuestos antes señalados y es posible, se deberá consultar al </w:t>
      </w:r>
      <w:r w:rsidRPr="006D4582">
        <w:rPr>
          <w:rFonts w:ascii="Palatino Linotype" w:hAnsi="Palatino Linotype" w:cs="Arial"/>
          <w:color w:val="000000" w:themeColor="text1"/>
          <w:sz w:val="24"/>
          <w:szCs w:val="24"/>
        </w:rPr>
        <w:lastRenderedPageBreak/>
        <w:t>titular de los datos si permite o no el acceso. De no ser posible, la realización de la consulta, procede, fundando y motivando, la clasificación.</w:t>
      </w:r>
    </w:p>
    <w:p w:rsidR="00877838" w:rsidRPr="006D4582" w:rsidRDefault="00877838" w:rsidP="00877838">
      <w:pPr>
        <w:pStyle w:val="Prrafodelista"/>
        <w:rPr>
          <w:rFonts w:ascii="Palatino Linotype" w:eastAsia="MS Mincho" w:hAnsi="Palatino Linotype" w:cstheme="majorBidi"/>
          <w:sz w:val="24"/>
          <w:szCs w:val="24"/>
        </w:rPr>
      </w:pPr>
    </w:p>
    <w:p w:rsidR="00D34BD0" w:rsidRPr="002017B2" w:rsidRDefault="00D34BD0" w:rsidP="00665BB2">
      <w:pPr>
        <w:pStyle w:val="Prrafodelista"/>
        <w:numPr>
          <w:ilvl w:val="0"/>
          <w:numId w:val="2"/>
        </w:numPr>
        <w:spacing w:before="240" w:after="0" w:line="360" w:lineRule="auto"/>
        <w:ind w:left="360" w:right="49" w:hanging="426"/>
        <w:jc w:val="both"/>
        <w:rPr>
          <w:rFonts w:ascii="Palatino Linotype" w:eastAsia="MS Mincho" w:hAnsi="Palatino Linotype" w:cstheme="majorBidi"/>
          <w:sz w:val="24"/>
          <w:szCs w:val="24"/>
          <w:lang w:val="es-ES_tradnl" w:eastAsia="es-ES"/>
        </w:rPr>
      </w:pPr>
      <w:r w:rsidRPr="006D4582">
        <w:rPr>
          <w:rFonts w:ascii="Palatino Linotype" w:hAnsi="Palatino Linotype" w:cs="Arial"/>
          <w:sz w:val="24"/>
          <w:szCs w:val="24"/>
        </w:rPr>
        <w:t>Consecuentemente</w:t>
      </w:r>
      <w:r w:rsidRPr="006D4582">
        <w:rPr>
          <w:rFonts w:ascii="Palatino Linotype" w:hAnsi="Palatino Linotype" w:cs="Arial"/>
          <w:sz w:val="24"/>
          <w:szCs w:val="24"/>
          <w:lang w:val="es-ES_tradnl"/>
        </w:rPr>
        <w:t xml:space="preserve">, en términos del artículo 179 fracción </w:t>
      </w:r>
      <w:r w:rsidR="00C045AC">
        <w:rPr>
          <w:rFonts w:ascii="Palatino Linotype" w:hAnsi="Palatino Linotype" w:cs="Arial"/>
          <w:sz w:val="24"/>
          <w:szCs w:val="24"/>
          <w:lang w:val="es-ES_tradnl"/>
        </w:rPr>
        <w:t>I</w:t>
      </w:r>
      <w:r w:rsidRPr="006D4582">
        <w:rPr>
          <w:rFonts w:ascii="Palatino Linotype" w:hAnsi="Palatino Linotype" w:cs="Arial"/>
          <w:sz w:val="24"/>
          <w:szCs w:val="24"/>
          <w:lang w:val="es-ES_tradnl"/>
        </w:rPr>
        <w:t xml:space="preserve"> </w:t>
      </w:r>
      <w:r w:rsidRPr="006D4582">
        <w:rPr>
          <w:rFonts w:ascii="Palatino Linotype" w:eastAsia="MS Mincho" w:hAnsi="Palatino Linotype" w:cstheme="majorBidi"/>
          <w:sz w:val="24"/>
          <w:szCs w:val="24"/>
          <w:lang w:val="es-ES_tradnl" w:eastAsia="es-ES"/>
        </w:rPr>
        <w:t xml:space="preserve">resultan </w:t>
      </w:r>
      <w:r w:rsidRPr="006D4582">
        <w:rPr>
          <w:rFonts w:ascii="Palatino Linotype" w:eastAsia="Times New Roman" w:hAnsi="Palatino Linotype" w:cs="Arial"/>
          <w:sz w:val="24"/>
          <w:szCs w:val="24"/>
          <w:lang w:val="es-ES_tradnl" w:eastAsia="es-ES"/>
        </w:rPr>
        <w:t>fundadas las</w:t>
      </w:r>
      <w:r w:rsidRPr="006D4582">
        <w:rPr>
          <w:rFonts w:ascii="Palatino Linotype" w:eastAsia="Times New Roman" w:hAnsi="Palatino Linotype" w:cs="Arial"/>
          <w:b/>
          <w:sz w:val="24"/>
          <w:szCs w:val="24"/>
          <w:lang w:val="es-ES_tradnl" w:eastAsia="es-ES"/>
        </w:rPr>
        <w:t xml:space="preserve"> </w:t>
      </w:r>
      <w:r w:rsidRPr="006D4582">
        <w:rPr>
          <w:rFonts w:ascii="Palatino Linotype" w:eastAsia="Times New Roman" w:hAnsi="Palatino Linotype" w:cs="Arial"/>
          <w:sz w:val="24"/>
          <w:szCs w:val="24"/>
          <w:lang w:val="es-ES" w:eastAsia="es-ES"/>
        </w:rPr>
        <w:t xml:space="preserve">razones o motivos de inconformidad hechos valer por el recurrente </w:t>
      </w:r>
      <w:r w:rsidRPr="006D4582">
        <w:rPr>
          <w:rFonts w:ascii="Palatino Linotype" w:eastAsia="Calibri" w:hAnsi="Palatino Linotype" w:cs="Arial"/>
          <w:sz w:val="24"/>
          <w:szCs w:val="24"/>
          <w:lang w:val="es-ES" w:eastAsia="es-ES"/>
        </w:rPr>
        <w:t>en el recurso de revisión en merito, en razón de la negativa de la entrega de la información solicitada.</w:t>
      </w:r>
    </w:p>
    <w:p w:rsidR="002017B2" w:rsidRPr="002017B2" w:rsidRDefault="002017B2" w:rsidP="002017B2">
      <w:pPr>
        <w:pStyle w:val="Prrafodelista"/>
        <w:rPr>
          <w:rFonts w:ascii="Palatino Linotype" w:eastAsia="MS Mincho" w:hAnsi="Palatino Linotype" w:cstheme="majorBidi"/>
          <w:sz w:val="24"/>
          <w:szCs w:val="24"/>
          <w:lang w:val="es-ES_tradnl" w:eastAsia="es-ES"/>
        </w:rPr>
      </w:pPr>
    </w:p>
    <w:p w:rsidR="00D34BD0" w:rsidRPr="00C045AC" w:rsidRDefault="00D34BD0" w:rsidP="00C045AC">
      <w:pPr>
        <w:pStyle w:val="Prrafodelista"/>
        <w:numPr>
          <w:ilvl w:val="0"/>
          <w:numId w:val="2"/>
        </w:numPr>
        <w:spacing w:before="240" w:beforeAutospacing="1" w:after="0" w:afterAutospacing="1" w:line="360" w:lineRule="auto"/>
        <w:ind w:left="284" w:right="49"/>
        <w:jc w:val="both"/>
        <w:rPr>
          <w:rFonts w:ascii="Palatino Linotype" w:eastAsia="Times New Roman" w:hAnsi="Palatino Linotype" w:cs="Arial"/>
          <w:sz w:val="24"/>
          <w:szCs w:val="24"/>
          <w:lang w:val="es-ES" w:eastAsia="es-ES"/>
        </w:rPr>
      </w:pPr>
      <w:r w:rsidRPr="00061820">
        <w:rPr>
          <w:rFonts w:ascii="Palatino Linotype" w:eastAsia="MS Mincho" w:hAnsi="Palatino Linotype" w:cstheme="majorBidi"/>
          <w:sz w:val="24"/>
          <w:szCs w:val="24"/>
          <w:lang w:val="es-ES_tradnl" w:eastAsia="es-ES"/>
        </w:rPr>
        <w:t xml:space="preserve"> </w:t>
      </w:r>
      <w:r w:rsidRPr="00C045AC">
        <w:rPr>
          <w:rFonts w:ascii="Palatino Linotype" w:eastAsia="MS Mincho" w:hAnsi="Palatino Linotype" w:cstheme="majorBidi"/>
          <w:sz w:val="24"/>
          <w:szCs w:val="24"/>
          <w:lang w:val="es-ES_tradnl" w:eastAsia="es-ES"/>
        </w:rPr>
        <w:t xml:space="preserve">Finalmente, en términos del artículo 186 fracción IV este Pleno determina </w:t>
      </w:r>
      <w:r w:rsidR="00C045AC" w:rsidRPr="00C045AC">
        <w:rPr>
          <w:rFonts w:ascii="Palatino Linotype" w:eastAsia="MS Mincho" w:hAnsi="Palatino Linotype" w:cstheme="majorBidi"/>
          <w:b/>
          <w:sz w:val="24"/>
          <w:szCs w:val="24"/>
          <w:lang w:val="es-ES_tradnl" w:eastAsia="es-ES"/>
        </w:rPr>
        <w:t>REVOCAR</w:t>
      </w:r>
      <w:r w:rsidRPr="00C045AC">
        <w:rPr>
          <w:rFonts w:ascii="Palatino Linotype" w:eastAsia="MS Mincho" w:hAnsi="Palatino Linotype" w:cstheme="majorBidi"/>
          <w:sz w:val="24"/>
          <w:szCs w:val="24"/>
          <w:lang w:val="es-ES_tradnl" w:eastAsia="es-ES"/>
        </w:rPr>
        <w:t xml:space="preserve"> la respuesta del sujeto Obligado y </w:t>
      </w:r>
      <w:r w:rsidRPr="00C045AC">
        <w:rPr>
          <w:rFonts w:ascii="Palatino Linotype" w:eastAsia="MS Mincho" w:hAnsi="Palatino Linotype" w:cstheme="majorBidi"/>
          <w:b/>
          <w:sz w:val="24"/>
          <w:szCs w:val="24"/>
          <w:lang w:val="es-ES_tradnl" w:eastAsia="es-ES"/>
        </w:rPr>
        <w:t>ORDENAR</w:t>
      </w:r>
      <w:r w:rsidRPr="00C045AC">
        <w:rPr>
          <w:rFonts w:ascii="Palatino Linotype" w:eastAsia="MS Mincho" w:hAnsi="Palatino Linotype" w:cstheme="majorBidi"/>
          <w:sz w:val="24"/>
          <w:szCs w:val="24"/>
          <w:lang w:val="es-ES_tradnl" w:eastAsia="es-ES"/>
        </w:rPr>
        <w:t xml:space="preserve"> la entrega de la información del presente recurso de revisión en versión pública de ser procedente </w:t>
      </w:r>
      <w:r w:rsidR="00C045AC" w:rsidRPr="00C045AC">
        <w:rPr>
          <w:rFonts w:ascii="Palatino Linotype" w:eastAsia="MS Mincho" w:hAnsi="Palatino Linotype" w:cstheme="majorBidi"/>
          <w:sz w:val="24"/>
          <w:szCs w:val="24"/>
          <w:lang w:val="es-ES_tradnl" w:eastAsia="es-ES"/>
        </w:rPr>
        <w:t>d</w:t>
      </w:r>
      <w:r w:rsidR="00C045AC" w:rsidRPr="00C045AC">
        <w:rPr>
          <w:rFonts w:ascii="Palatino Linotype" w:eastAsia="Times New Roman" w:hAnsi="Palatino Linotype" w:cs="Arial"/>
          <w:sz w:val="24"/>
          <w:szCs w:val="24"/>
          <w:lang w:val="es-ES" w:eastAsia="es-ES"/>
        </w:rPr>
        <w:t xml:space="preserve">el o los documentos donde conste o se aprecie el número de </w:t>
      </w:r>
      <w:r w:rsidR="00C045AC" w:rsidRPr="00C045AC">
        <w:rPr>
          <w:rFonts w:ascii="Palatino Linotype" w:hAnsi="Palatino Linotype" w:cs="Arial"/>
          <w:sz w:val="24"/>
          <w:lang w:eastAsia="es-MX"/>
        </w:rPr>
        <w:t xml:space="preserve">NIC (número interno de control) y número de NUC (número único de causa) </w:t>
      </w:r>
      <w:r w:rsidR="00C045AC" w:rsidRPr="00C045AC">
        <w:rPr>
          <w:rFonts w:ascii="Palatino Linotype" w:eastAsia="Times New Roman" w:hAnsi="Palatino Linotype" w:cs="Arial"/>
          <w:sz w:val="24"/>
          <w:szCs w:val="24"/>
          <w:lang w:val="es-ES" w:eastAsia="es-MX"/>
        </w:rPr>
        <w:t xml:space="preserve"> que se iniciaron en los años 2016, 2017 y del 01 de enero  al 31 de mayo de 2018 de los delitos de: robo a transporte público, robo a transeúnte  y robo a casa habitación en el C.J. NEZA LA PERLA, C.J. NEZA PALACIO y A.M.P. CAMPESTRE GUADALUPANA</w:t>
      </w:r>
      <w:r w:rsidRPr="00C045AC">
        <w:rPr>
          <w:rFonts w:ascii="Palatino Linotype" w:eastAsia="MS Mincho" w:hAnsi="Palatino Linotype" w:cstheme="majorBidi"/>
          <w:sz w:val="24"/>
          <w:szCs w:val="24"/>
          <w:lang w:val="es-ES_tradnl" w:eastAsia="es-ES"/>
        </w:rPr>
        <w:t>, toda vez que hubo afectación al derecho de acceso a la información pública establecido constitucionalmente a favor del particular ya que hubo omisión de información.</w:t>
      </w:r>
    </w:p>
    <w:p w:rsidR="00D34BD0" w:rsidRPr="00A3569A" w:rsidRDefault="00D34BD0" w:rsidP="00D34BD0">
      <w:pPr>
        <w:spacing w:before="240" w:after="360" w:line="360" w:lineRule="auto"/>
        <w:ind w:left="426" w:right="49"/>
        <w:contextualSpacing/>
        <w:jc w:val="both"/>
        <w:rPr>
          <w:rFonts w:ascii="Palatino Linotype" w:eastAsia="MS Mincho" w:hAnsi="Palatino Linotype" w:cs="Arial"/>
          <w:i/>
          <w:sz w:val="24"/>
          <w:szCs w:val="24"/>
          <w:lang w:val="es-ES_tradnl" w:eastAsia="es-ES"/>
        </w:rPr>
      </w:pPr>
    </w:p>
    <w:p w:rsidR="00D34BD0" w:rsidRPr="00D42762" w:rsidRDefault="00D34BD0" w:rsidP="00665BB2">
      <w:pPr>
        <w:numPr>
          <w:ilvl w:val="0"/>
          <w:numId w:val="2"/>
        </w:numPr>
        <w:spacing w:before="240" w:after="360" w:line="360" w:lineRule="auto"/>
        <w:ind w:left="360"/>
        <w:contextualSpacing/>
        <w:jc w:val="both"/>
        <w:rPr>
          <w:rFonts w:ascii="Palatino Linotype" w:eastAsia="MS Mincho" w:hAnsi="Palatino Linotype" w:cs="Arial"/>
          <w:i/>
          <w:sz w:val="24"/>
          <w:szCs w:val="24"/>
          <w:lang w:eastAsia="es-ES"/>
        </w:rPr>
      </w:pPr>
      <w:r w:rsidRPr="00A3569A">
        <w:rPr>
          <w:rFonts w:ascii="Palatino Linotype" w:eastAsia="MS Mincho" w:hAnsi="Palatino Linotype" w:cstheme="majorBidi"/>
          <w:sz w:val="24"/>
          <w:szCs w:val="24"/>
          <w:lang w:val="es-ES_tradnl" w:eastAsia="es-ES"/>
        </w:rPr>
        <w:t xml:space="preserve">Por lo anteriormente expuesto y fundado este </w:t>
      </w:r>
      <w:r w:rsidRPr="00A3569A">
        <w:rPr>
          <w:rFonts w:ascii="Palatino Linotype" w:eastAsia="MS Mincho" w:hAnsi="Palatino Linotype" w:cstheme="majorBidi"/>
          <w:b/>
          <w:sz w:val="24"/>
          <w:szCs w:val="24"/>
          <w:lang w:val="es-ES_tradnl" w:eastAsia="es-ES"/>
        </w:rPr>
        <w:t>ÓRGANO GARANTE</w:t>
      </w:r>
      <w:r w:rsidRPr="00A3569A">
        <w:rPr>
          <w:rFonts w:ascii="Palatino Linotype" w:eastAsia="MS Mincho" w:hAnsi="Palatino Linotype" w:cstheme="majorBidi"/>
          <w:sz w:val="24"/>
          <w:szCs w:val="24"/>
          <w:lang w:val="es-ES_tradnl" w:eastAsia="es-ES"/>
        </w:rPr>
        <w:t xml:space="preserve"> emite los siguientes.</w:t>
      </w:r>
    </w:p>
    <w:p w:rsidR="009C291C" w:rsidRDefault="009C291C" w:rsidP="00D34BD0">
      <w:pPr>
        <w:spacing w:before="240" w:after="120" w:line="360" w:lineRule="auto"/>
        <w:ind w:left="426" w:right="49"/>
        <w:jc w:val="both"/>
        <w:rPr>
          <w:rFonts w:ascii="Palatino Linotype" w:eastAsia="MS Mincho" w:hAnsi="Palatino Linotype" w:cstheme="majorBidi"/>
        </w:rPr>
      </w:pPr>
    </w:p>
    <w:p w:rsidR="006F025F" w:rsidRDefault="006F025F" w:rsidP="006F025F">
      <w:pPr>
        <w:keepNext/>
        <w:keepLines/>
        <w:spacing w:before="240" w:after="0"/>
        <w:jc w:val="center"/>
        <w:outlineLvl w:val="0"/>
        <w:rPr>
          <w:rFonts w:ascii="Palatino Linotype" w:eastAsia="Times New Roman" w:hAnsi="Palatino Linotype" w:cstheme="majorBidi"/>
          <w:b/>
          <w:sz w:val="24"/>
          <w:szCs w:val="24"/>
          <w:lang w:val="es-ES_tradnl" w:eastAsia="es-ES"/>
        </w:rPr>
      </w:pPr>
      <w:bookmarkStart w:id="48" w:name="_Toc494366431"/>
      <w:bookmarkStart w:id="49" w:name="_Toc522809779"/>
      <w:r w:rsidRPr="009E589D">
        <w:rPr>
          <w:rFonts w:ascii="Palatino Linotype" w:eastAsia="Times New Roman" w:hAnsi="Palatino Linotype" w:cstheme="majorBidi"/>
          <w:b/>
          <w:sz w:val="24"/>
          <w:szCs w:val="24"/>
          <w:lang w:val="es-ES_tradnl" w:eastAsia="es-ES"/>
        </w:rPr>
        <w:lastRenderedPageBreak/>
        <w:t>R E S O L U T I V O S</w:t>
      </w:r>
      <w:bookmarkEnd w:id="48"/>
      <w:bookmarkEnd w:id="49"/>
    </w:p>
    <w:p w:rsidR="00536841" w:rsidRPr="00536841" w:rsidRDefault="00536841" w:rsidP="00536841">
      <w:pPr>
        <w:spacing w:before="240" w:after="360" w:line="360" w:lineRule="auto"/>
        <w:jc w:val="both"/>
        <w:rPr>
          <w:rFonts w:ascii="Palatino Linotype" w:hAnsi="Palatino Linotype" w:cs="Arial"/>
          <w:bCs/>
          <w:sz w:val="24"/>
          <w:szCs w:val="24"/>
        </w:rPr>
      </w:pPr>
      <w:r w:rsidRPr="00536841">
        <w:rPr>
          <w:rFonts w:ascii="Palatino Linotype" w:hAnsi="Palatino Linotype" w:cs="Arial"/>
          <w:b/>
          <w:sz w:val="24"/>
          <w:szCs w:val="24"/>
        </w:rPr>
        <w:t>PRIMERO</w:t>
      </w:r>
      <w:r w:rsidRPr="00536841">
        <w:rPr>
          <w:rFonts w:ascii="Palatino Linotype" w:eastAsia="Times New Roman" w:hAnsi="Palatino Linotype" w:cs="Arial"/>
          <w:b/>
          <w:sz w:val="24"/>
          <w:szCs w:val="24"/>
          <w:lang w:val="es-ES_tradnl"/>
        </w:rPr>
        <w:t xml:space="preserve">. </w:t>
      </w:r>
      <w:r w:rsidRPr="00536841">
        <w:rPr>
          <w:rFonts w:ascii="Palatino Linotype" w:eastAsia="Times New Roman" w:hAnsi="Palatino Linotype" w:cs="Arial"/>
          <w:sz w:val="24"/>
          <w:szCs w:val="24"/>
        </w:rPr>
        <w:t>R</w:t>
      </w:r>
      <w:r w:rsidRPr="000C1475">
        <w:rPr>
          <w:rFonts w:ascii="Palatino Linotype" w:eastAsia="Times New Roman" w:hAnsi="Palatino Linotype" w:cs="Arial"/>
          <w:sz w:val="24"/>
          <w:szCs w:val="24"/>
        </w:rPr>
        <w:t xml:space="preserve">esultan fundadas las razones y motivos de inconformidad hechos valer </w:t>
      </w:r>
      <w:r w:rsidRPr="000C1475">
        <w:rPr>
          <w:rFonts w:ascii="Palatino Linotype" w:hAnsi="Palatino Linotype" w:cs="Arial"/>
          <w:sz w:val="24"/>
          <w:szCs w:val="24"/>
        </w:rPr>
        <w:t xml:space="preserve">en los recursos de revisión </w:t>
      </w:r>
      <w:r w:rsidR="00601100" w:rsidRPr="000C1475">
        <w:rPr>
          <w:rFonts w:ascii="Palatino Linotype" w:eastAsia="Times New Roman" w:hAnsi="Palatino Linotype"/>
          <w:b/>
          <w:sz w:val="24"/>
          <w:szCs w:val="24"/>
          <w:lang w:val="es-ES_tradnl"/>
        </w:rPr>
        <w:t>0</w:t>
      </w:r>
      <w:r w:rsidR="000C1475" w:rsidRPr="000C1475">
        <w:rPr>
          <w:rFonts w:ascii="Palatino Linotype" w:eastAsia="Times New Roman" w:hAnsi="Palatino Linotype"/>
          <w:b/>
          <w:sz w:val="24"/>
          <w:szCs w:val="24"/>
          <w:lang w:val="es-ES_tradnl"/>
        </w:rPr>
        <w:t xml:space="preserve">2398/INFOEM/IP/RR/2018 y </w:t>
      </w:r>
      <w:r w:rsidRPr="000C1475">
        <w:rPr>
          <w:rFonts w:ascii="Palatino Linotype" w:eastAsia="Times New Roman" w:hAnsi="Palatino Linotype"/>
          <w:b/>
          <w:sz w:val="24"/>
          <w:szCs w:val="24"/>
          <w:lang w:val="es-ES_tradnl"/>
        </w:rPr>
        <w:t xml:space="preserve"> 0</w:t>
      </w:r>
      <w:r w:rsidR="000C1475" w:rsidRPr="000C1475">
        <w:rPr>
          <w:rFonts w:ascii="Palatino Linotype" w:eastAsia="Times New Roman" w:hAnsi="Palatino Linotype"/>
          <w:b/>
          <w:sz w:val="24"/>
          <w:szCs w:val="24"/>
          <w:lang w:val="es-ES_tradnl"/>
        </w:rPr>
        <w:t>2399</w:t>
      </w:r>
      <w:r w:rsidRPr="000C1475">
        <w:rPr>
          <w:rFonts w:ascii="Palatino Linotype" w:eastAsia="Times New Roman" w:hAnsi="Palatino Linotype"/>
          <w:b/>
          <w:sz w:val="24"/>
          <w:szCs w:val="24"/>
          <w:lang w:val="es-ES_tradnl"/>
        </w:rPr>
        <w:t xml:space="preserve">/INFOEM/IP/RR/2018 </w:t>
      </w:r>
      <w:r w:rsidRPr="000C1475">
        <w:rPr>
          <w:rFonts w:ascii="Palatino Linotype" w:eastAsia="Times New Roman" w:hAnsi="Palatino Linotype"/>
          <w:sz w:val="24"/>
          <w:szCs w:val="24"/>
          <w:lang w:val="es-ES_tradnl"/>
        </w:rPr>
        <w:t xml:space="preserve">en términos de los considerandos  </w:t>
      </w:r>
      <w:r w:rsidRPr="000C1475">
        <w:rPr>
          <w:rFonts w:ascii="Palatino Linotype" w:eastAsia="Times New Roman" w:hAnsi="Palatino Linotype"/>
          <w:b/>
          <w:sz w:val="24"/>
          <w:szCs w:val="24"/>
          <w:lang w:val="es-ES_tradnl"/>
        </w:rPr>
        <w:t xml:space="preserve">CUARTO </w:t>
      </w:r>
      <w:r w:rsidR="00342B7D">
        <w:rPr>
          <w:rFonts w:ascii="Palatino Linotype" w:eastAsia="Times New Roman" w:hAnsi="Palatino Linotype"/>
          <w:b/>
          <w:sz w:val="24"/>
          <w:szCs w:val="24"/>
          <w:lang w:val="es-ES_tradnl"/>
        </w:rPr>
        <w:t xml:space="preserve">y QUINTO </w:t>
      </w:r>
      <w:r w:rsidRPr="000C1475">
        <w:rPr>
          <w:rFonts w:ascii="Palatino Linotype" w:eastAsia="Times New Roman" w:hAnsi="Palatino Linotype"/>
          <w:sz w:val="24"/>
          <w:szCs w:val="24"/>
          <w:lang w:val="es-ES_tradnl"/>
        </w:rPr>
        <w:t>de la presente resolución.</w:t>
      </w:r>
    </w:p>
    <w:p w:rsidR="00536841" w:rsidRPr="00536841" w:rsidRDefault="00536841" w:rsidP="00536841">
      <w:pPr>
        <w:spacing w:before="240" w:after="240" w:line="360" w:lineRule="auto"/>
        <w:jc w:val="both"/>
        <w:rPr>
          <w:rFonts w:ascii="Palatino Linotype" w:hAnsi="Palatino Linotype" w:cs="Arial"/>
          <w:sz w:val="24"/>
          <w:szCs w:val="24"/>
        </w:rPr>
      </w:pPr>
      <w:r w:rsidRPr="00536841">
        <w:rPr>
          <w:rFonts w:ascii="Palatino Linotype" w:hAnsi="Palatino Linotype" w:cs="Arial"/>
          <w:b/>
          <w:bCs/>
          <w:sz w:val="24"/>
          <w:szCs w:val="24"/>
        </w:rPr>
        <w:t xml:space="preserve">SEGUNDO. </w:t>
      </w:r>
      <w:r w:rsidRPr="00536841">
        <w:rPr>
          <w:rFonts w:ascii="Palatino Linotype" w:hAnsi="Palatino Linotype" w:cs="Arial"/>
          <w:sz w:val="24"/>
          <w:szCs w:val="24"/>
        </w:rPr>
        <w:t xml:space="preserve">Se </w:t>
      </w:r>
      <w:r w:rsidRPr="00536841">
        <w:rPr>
          <w:rFonts w:ascii="Palatino Linotype" w:hAnsi="Palatino Linotype" w:cs="Arial"/>
          <w:b/>
          <w:sz w:val="24"/>
          <w:szCs w:val="24"/>
        </w:rPr>
        <w:t>REVOCAN</w:t>
      </w:r>
      <w:r w:rsidRPr="00536841">
        <w:rPr>
          <w:rFonts w:ascii="Palatino Linotype" w:hAnsi="Palatino Linotype" w:cs="Arial"/>
          <w:sz w:val="24"/>
          <w:szCs w:val="24"/>
        </w:rPr>
        <w:t xml:space="preserve"> las respuestas</w:t>
      </w:r>
      <w:r w:rsidRPr="00536841">
        <w:rPr>
          <w:rFonts w:ascii="Palatino Linotype" w:hAnsi="Palatino Linotype" w:cs="Arial"/>
          <w:b/>
          <w:sz w:val="24"/>
          <w:szCs w:val="24"/>
        </w:rPr>
        <w:t xml:space="preserve"> </w:t>
      </w:r>
      <w:r w:rsidRPr="00536841">
        <w:rPr>
          <w:rFonts w:ascii="Palatino Linotype" w:hAnsi="Palatino Linotype" w:cs="Arial"/>
          <w:sz w:val="24"/>
          <w:szCs w:val="24"/>
        </w:rPr>
        <w:t xml:space="preserve">emitidas por </w:t>
      </w:r>
      <w:r w:rsidR="00342B7D">
        <w:rPr>
          <w:rFonts w:ascii="Palatino Linotype" w:hAnsi="Palatino Linotype" w:cs="Arial"/>
          <w:sz w:val="24"/>
          <w:szCs w:val="24"/>
        </w:rPr>
        <w:t xml:space="preserve">la </w:t>
      </w:r>
      <w:r w:rsidR="00C43D39" w:rsidRPr="00C43D39">
        <w:rPr>
          <w:rFonts w:ascii="Palatino Linotype" w:hAnsi="Palatino Linotype" w:cs="Arial"/>
          <w:b/>
          <w:sz w:val="24"/>
          <w:szCs w:val="24"/>
        </w:rPr>
        <w:t>Fiscalía General de Justicia del Estado de México</w:t>
      </w:r>
      <w:r w:rsidRPr="00536841">
        <w:rPr>
          <w:rFonts w:ascii="Palatino Linotype" w:hAnsi="Palatino Linotype" w:cs="Arial"/>
          <w:b/>
          <w:sz w:val="24"/>
          <w:szCs w:val="24"/>
        </w:rPr>
        <w:t xml:space="preserve"> </w:t>
      </w:r>
      <w:r w:rsidRPr="00536841">
        <w:rPr>
          <w:rFonts w:ascii="Palatino Linotype" w:eastAsia="MS Gothic" w:hAnsi="Palatino Linotype"/>
          <w:sz w:val="24"/>
          <w:szCs w:val="24"/>
        </w:rPr>
        <w:t>y se</w:t>
      </w:r>
      <w:r w:rsidRPr="00536841">
        <w:rPr>
          <w:rFonts w:ascii="Palatino Linotype" w:eastAsia="MS Gothic" w:hAnsi="Palatino Linotype"/>
          <w:b/>
          <w:sz w:val="24"/>
          <w:szCs w:val="24"/>
        </w:rPr>
        <w:t xml:space="preserve"> ORDENA</w:t>
      </w:r>
      <w:r w:rsidRPr="00536841">
        <w:rPr>
          <w:rFonts w:ascii="Palatino Linotype" w:hAnsi="Palatino Linotype" w:cs="Arial"/>
          <w:sz w:val="24"/>
          <w:szCs w:val="24"/>
        </w:rPr>
        <w:t xml:space="preserve"> entregar vía </w:t>
      </w:r>
      <w:r w:rsidR="00891A75" w:rsidRPr="00891A75">
        <w:rPr>
          <w:rFonts w:ascii="Palatino Linotype" w:eastAsia="Times New Roman" w:hAnsi="Palatino Linotype" w:cs="Arial"/>
          <w:b/>
          <w:sz w:val="24"/>
          <w:szCs w:val="24"/>
          <w:lang w:val="es-ES" w:eastAsia="es-ES"/>
        </w:rPr>
        <w:t>CD-ROM</w:t>
      </w:r>
      <w:r w:rsidR="00827DC9">
        <w:rPr>
          <w:rFonts w:ascii="Palatino Linotype" w:eastAsia="Times New Roman" w:hAnsi="Palatino Linotype" w:cs="Arial"/>
          <w:b/>
          <w:sz w:val="24"/>
          <w:szCs w:val="24"/>
          <w:lang w:val="es-ES" w:eastAsia="es-ES"/>
        </w:rPr>
        <w:t xml:space="preserve"> sin costo</w:t>
      </w:r>
      <w:r w:rsidR="00573DB8" w:rsidRPr="000C1475">
        <w:rPr>
          <w:rFonts w:ascii="Palatino Linotype" w:hAnsi="Palatino Linotype" w:cs="Arial"/>
          <w:sz w:val="24"/>
          <w:szCs w:val="24"/>
        </w:rPr>
        <w:t>,</w:t>
      </w:r>
      <w:r w:rsidR="00573DB8">
        <w:rPr>
          <w:rFonts w:ascii="Palatino Linotype" w:hAnsi="Palatino Linotype" w:cs="Arial"/>
          <w:sz w:val="24"/>
          <w:szCs w:val="24"/>
        </w:rPr>
        <w:t xml:space="preserve"> en versión </w:t>
      </w:r>
      <w:r w:rsidR="00601100">
        <w:rPr>
          <w:rFonts w:ascii="Palatino Linotype" w:hAnsi="Palatino Linotype" w:cs="Arial"/>
          <w:sz w:val="24"/>
          <w:szCs w:val="24"/>
        </w:rPr>
        <w:t>pública</w:t>
      </w:r>
      <w:r w:rsidR="00891A75">
        <w:rPr>
          <w:rFonts w:ascii="Palatino Linotype" w:hAnsi="Palatino Linotype" w:cs="Arial"/>
          <w:sz w:val="24"/>
          <w:szCs w:val="24"/>
        </w:rPr>
        <w:t xml:space="preserve"> de ser procedente </w:t>
      </w:r>
      <w:r w:rsidR="00342B7D">
        <w:rPr>
          <w:rFonts w:ascii="Palatino Linotype" w:hAnsi="Palatino Linotype" w:cs="Arial"/>
          <w:sz w:val="24"/>
          <w:szCs w:val="24"/>
        </w:rPr>
        <w:t>la</w:t>
      </w:r>
      <w:r w:rsidRPr="00536841">
        <w:rPr>
          <w:rFonts w:ascii="Palatino Linotype" w:hAnsi="Palatino Linotype" w:cs="Arial"/>
          <w:sz w:val="24"/>
          <w:szCs w:val="24"/>
        </w:rPr>
        <w:t xml:space="preserve"> siguiente</w:t>
      </w:r>
      <w:r w:rsidR="00342B7D">
        <w:rPr>
          <w:rFonts w:ascii="Palatino Linotype" w:hAnsi="Palatino Linotype" w:cs="Arial"/>
          <w:sz w:val="24"/>
          <w:szCs w:val="24"/>
        </w:rPr>
        <w:t xml:space="preserve"> información</w:t>
      </w:r>
      <w:r w:rsidRPr="00536841">
        <w:rPr>
          <w:rFonts w:ascii="Palatino Linotype" w:hAnsi="Palatino Linotype" w:cs="Arial"/>
          <w:sz w:val="24"/>
          <w:szCs w:val="24"/>
        </w:rPr>
        <w:t xml:space="preserve">:  </w:t>
      </w:r>
    </w:p>
    <w:p w:rsidR="00C045AC" w:rsidRPr="00185AB8" w:rsidRDefault="000C1475" w:rsidP="00A061B0">
      <w:pPr>
        <w:pStyle w:val="Prrafodelista"/>
        <w:numPr>
          <w:ilvl w:val="0"/>
          <w:numId w:val="4"/>
        </w:numPr>
        <w:spacing w:before="240" w:beforeAutospacing="1" w:after="0" w:afterAutospacing="1" w:line="360" w:lineRule="auto"/>
        <w:ind w:right="49"/>
        <w:jc w:val="both"/>
        <w:rPr>
          <w:rFonts w:ascii="Palatino Linotype" w:eastAsia="Times New Roman" w:hAnsi="Palatino Linotype" w:cs="Arial"/>
          <w:sz w:val="24"/>
          <w:szCs w:val="24"/>
          <w:lang w:val="es-ES" w:eastAsia="es-ES"/>
        </w:rPr>
      </w:pPr>
      <w:bookmarkStart w:id="50" w:name="_Toc460947013"/>
      <w:r w:rsidRPr="00342B7D">
        <w:rPr>
          <w:rFonts w:ascii="Palatino Linotype" w:eastAsia="Times New Roman" w:hAnsi="Palatino Linotype" w:cs="Arial"/>
          <w:b/>
          <w:sz w:val="24"/>
          <w:szCs w:val="24"/>
          <w:lang w:val="es-ES_tradnl" w:eastAsia="es-ES"/>
        </w:rPr>
        <w:t>E</w:t>
      </w:r>
      <w:r w:rsidR="00C045AC" w:rsidRPr="00342B7D">
        <w:rPr>
          <w:rFonts w:ascii="Palatino Linotype" w:eastAsia="Times New Roman" w:hAnsi="Palatino Linotype" w:cs="Arial"/>
          <w:b/>
          <w:sz w:val="24"/>
          <w:szCs w:val="24"/>
          <w:lang w:val="es-ES" w:eastAsia="es-ES"/>
        </w:rPr>
        <w:t xml:space="preserve">l o los documentos donde conste </w:t>
      </w:r>
      <w:r w:rsidR="00827DC9" w:rsidRPr="00342B7D">
        <w:rPr>
          <w:rFonts w:ascii="Palatino Linotype" w:eastAsia="Times New Roman" w:hAnsi="Palatino Linotype" w:cs="Arial"/>
          <w:b/>
          <w:sz w:val="24"/>
          <w:szCs w:val="24"/>
          <w:lang w:val="es-ES" w:eastAsia="es-ES"/>
        </w:rPr>
        <w:t xml:space="preserve">la cantidad </w:t>
      </w:r>
      <w:r w:rsidR="00C045AC" w:rsidRPr="00342B7D">
        <w:rPr>
          <w:rFonts w:ascii="Palatino Linotype" w:eastAsia="Times New Roman" w:hAnsi="Palatino Linotype" w:cs="Arial"/>
          <w:b/>
          <w:sz w:val="24"/>
          <w:szCs w:val="24"/>
          <w:lang w:val="es-ES" w:eastAsia="es-ES"/>
        </w:rPr>
        <w:t xml:space="preserve">de </w:t>
      </w:r>
      <w:r w:rsidR="00C045AC" w:rsidRPr="00342B7D">
        <w:rPr>
          <w:rFonts w:ascii="Palatino Linotype" w:hAnsi="Palatino Linotype" w:cs="Arial"/>
          <w:b/>
          <w:sz w:val="24"/>
          <w:lang w:eastAsia="es-MX"/>
        </w:rPr>
        <w:t xml:space="preserve">NIC (número interno de control) y NUC (número único de causa) </w:t>
      </w:r>
      <w:r w:rsidR="00C045AC" w:rsidRPr="00342B7D">
        <w:rPr>
          <w:rFonts w:ascii="Palatino Linotype" w:eastAsia="Times New Roman" w:hAnsi="Palatino Linotype" w:cs="Arial"/>
          <w:b/>
          <w:sz w:val="24"/>
          <w:szCs w:val="24"/>
          <w:lang w:val="es-ES" w:eastAsia="es-MX"/>
        </w:rPr>
        <w:t>que se iniciaron en los años 2016, 2017 y del 01 de enero  al 31 de mayo de 2018 de los delitos de: robo a transporte público, robo a transeúnte y</w:t>
      </w:r>
      <w:r w:rsidR="00A061B0">
        <w:rPr>
          <w:rFonts w:ascii="Palatino Linotype" w:eastAsia="Times New Roman" w:hAnsi="Palatino Linotype" w:cs="Arial"/>
          <w:b/>
          <w:sz w:val="24"/>
          <w:szCs w:val="24"/>
          <w:lang w:val="es-ES" w:eastAsia="es-MX"/>
        </w:rPr>
        <w:t xml:space="preserve"> robo a casa habitación en el Centro de </w:t>
      </w:r>
      <w:r w:rsidR="00C045AC" w:rsidRPr="00342B7D">
        <w:rPr>
          <w:rFonts w:ascii="Palatino Linotype" w:eastAsia="Times New Roman" w:hAnsi="Palatino Linotype" w:cs="Arial"/>
          <w:b/>
          <w:sz w:val="24"/>
          <w:szCs w:val="24"/>
          <w:lang w:val="es-ES" w:eastAsia="es-MX"/>
        </w:rPr>
        <w:t>J</w:t>
      </w:r>
      <w:r w:rsidR="00A061B0">
        <w:rPr>
          <w:rFonts w:ascii="Palatino Linotype" w:eastAsia="Times New Roman" w:hAnsi="Palatino Linotype" w:cs="Arial"/>
          <w:b/>
          <w:sz w:val="24"/>
          <w:szCs w:val="24"/>
          <w:lang w:val="es-ES" w:eastAsia="es-MX"/>
        </w:rPr>
        <w:t>usticia</w:t>
      </w:r>
      <w:r w:rsidR="00C045AC" w:rsidRPr="00342B7D">
        <w:rPr>
          <w:rFonts w:ascii="Palatino Linotype" w:eastAsia="Times New Roman" w:hAnsi="Palatino Linotype" w:cs="Arial"/>
          <w:b/>
          <w:sz w:val="24"/>
          <w:szCs w:val="24"/>
          <w:lang w:val="es-ES" w:eastAsia="es-MX"/>
        </w:rPr>
        <w:t xml:space="preserve"> </w:t>
      </w:r>
      <w:proofErr w:type="spellStart"/>
      <w:r w:rsidR="00A061B0" w:rsidRPr="00342B7D">
        <w:rPr>
          <w:rFonts w:ascii="Palatino Linotype" w:eastAsia="Times New Roman" w:hAnsi="Palatino Linotype" w:cs="Arial"/>
          <w:b/>
          <w:sz w:val="24"/>
          <w:szCs w:val="24"/>
          <w:lang w:val="es-ES" w:eastAsia="es-MX"/>
        </w:rPr>
        <w:t>Neza</w:t>
      </w:r>
      <w:proofErr w:type="spellEnd"/>
      <w:r w:rsidR="00A061B0" w:rsidRPr="00342B7D">
        <w:rPr>
          <w:rFonts w:ascii="Palatino Linotype" w:eastAsia="Times New Roman" w:hAnsi="Palatino Linotype" w:cs="Arial"/>
          <w:b/>
          <w:sz w:val="24"/>
          <w:szCs w:val="24"/>
          <w:lang w:val="es-ES" w:eastAsia="es-MX"/>
        </w:rPr>
        <w:t xml:space="preserve"> La Perla</w:t>
      </w:r>
      <w:r w:rsidR="00C045AC" w:rsidRPr="00342B7D">
        <w:rPr>
          <w:rFonts w:ascii="Palatino Linotype" w:eastAsia="Times New Roman" w:hAnsi="Palatino Linotype" w:cs="Arial"/>
          <w:b/>
          <w:sz w:val="24"/>
          <w:szCs w:val="24"/>
          <w:lang w:val="es-ES" w:eastAsia="es-MX"/>
        </w:rPr>
        <w:t>, C</w:t>
      </w:r>
      <w:r w:rsidR="00A061B0">
        <w:rPr>
          <w:rFonts w:ascii="Palatino Linotype" w:eastAsia="Times New Roman" w:hAnsi="Palatino Linotype" w:cs="Arial"/>
          <w:b/>
          <w:sz w:val="24"/>
          <w:szCs w:val="24"/>
          <w:lang w:val="es-ES" w:eastAsia="es-MX"/>
        </w:rPr>
        <w:t>entro de Justicia</w:t>
      </w:r>
      <w:r w:rsidR="00C045AC" w:rsidRPr="00342B7D">
        <w:rPr>
          <w:rFonts w:ascii="Palatino Linotype" w:eastAsia="Times New Roman" w:hAnsi="Palatino Linotype" w:cs="Arial"/>
          <w:b/>
          <w:sz w:val="24"/>
          <w:szCs w:val="24"/>
          <w:lang w:val="es-ES" w:eastAsia="es-MX"/>
        </w:rPr>
        <w:t xml:space="preserve"> </w:t>
      </w:r>
      <w:proofErr w:type="spellStart"/>
      <w:r w:rsidR="00A061B0" w:rsidRPr="00342B7D">
        <w:rPr>
          <w:rFonts w:ascii="Palatino Linotype" w:eastAsia="Times New Roman" w:hAnsi="Palatino Linotype" w:cs="Arial"/>
          <w:b/>
          <w:sz w:val="24"/>
          <w:szCs w:val="24"/>
          <w:lang w:val="es-ES" w:eastAsia="es-MX"/>
        </w:rPr>
        <w:t>Neza</w:t>
      </w:r>
      <w:proofErr w:type="spellEnd"/>
      <w:r w:rsidR="00A061B0" w:rsidRPr="00342B7D">
        <w:rPr>
          <w:rFonts w:ascii="Palatino Linotype" w:eastAsia="Times New Roman" w:hAnsi="Palatino Linotype" w:cs="Arial"/>
          <w:b/>
          <w:sz w:val="24"/>
          <w:szCs w:val="24"/>
          <w:lang w:val="es-ES" w:eastAsia="es-MX"/>
        </w:rPr>
        <w:t xml:space="preserve"> Palacio </w:t>
      </w:r>
      <w:r w:rsidR="00C045AC" w:rsidRPr="00342B7D">
        <w:rPr>
          <w:rFonts w:ascii="Palatino Linotype" w:eastAsia="Times New Roman" w:hAnsi="Palatino Linotype" w:cs="Arial"/>
          <w:b/>
          <w:sz w:val="24"/>
          <w:szCs w:val="24"/>
          <w:lang w:val="es-ES" w:eastAsia="es-MX"/>
        </w:rPr>
        <w:t>y</w:t>
      </w:r>
      <w:r w:rsidR="00A061B0" w:rsidRPr="00A061B0">
        <w:t xml:space="preserve"> </w:t>
      </w:r>
      <w:r w:rsidR="00A061B0">
        <w:rPr>
          <w:rFonts w:ascii="Palatino Linotype" w:eastAsia="Times New Roman" w:hAnsi="Palatino Linotype" w:cs="Arial"/>
          <w:b/>
          <w:sz w:val="24"/>
          <w:szCs w:val="24"/>
          <w:lang w:val="es-ES" w:eastAsia="es-MX"/>
        </w:rPr>
        <w:t>Agencia</w:t>
      </w:r>
      <w:r w:rsidR="00A061B0" w:rsidRPr="00A061B0">
        <w:rPr>
          <w:rFonts w:ascii="Palatino Linotype" w:eastAsia="Times New Roman" w:hAnsi="Palatino Linotype" w:cs="Arial"/>
          <w:b/>
          <w:sz w:val="24"/>
          <w:szCs w:val="24"/>
          <w:lang w:val="es-ES" w:eastAsia="es-MX"/>
        </w:rPr>
        <w:t xml:space="preserve"> del Ministerio Público</w:t>
      </w:r>
      <w:r w:rsidR="00C045AC" w:rsidRPr="00342B7D">
        <w:rPr>
          <w:rFonts w:ascii="Palatino Linotype" w:eastAsia="Times New Roman" w:hAnsi="Palatino Linotype" w:cs="Arial"/>
          <w:b/>
          <w:sz w:val="24"/>
          <w:szCs w:val="24"/>
          <w:lang w:val="es-ES" w:eastAsia="es-MX"/>
        </w:rPr>
        <w:t xml:space="preserve"> </w:t>
      </w:r>
      <w:r w:rsidR="00A061B0" w:rsidRPr="00342B7D">
        <w:rPr>
          <w:rFonts w:ascii="Palatino Linotype" w:eastAsia="Times New Roman" w:hAnsi="Palatino Linotype" w:cs="Arial"/>
          <w:b/>
          <w:sz w:val="24"/>
          <w:szCs w:val="24"/>
          <w:lang w:val="es-ES" w:eastAsia="es-MX"/>
        </w:rPr>
        <w:t>Campestre Guadalupana</w:t>
      </w:r>
      <w:r w:rsidR="00342B7D">
        <w:rPr>
          <w:rFonts w:ascii="Palatino Linotype" w:eastAsia="Times New Roman" w:hAnsi="Palatino Linotype" w:cs="Arial"/>
          <w:b/>
          <w:sz w:val="24"/>
          <w:szCs w:val="24"/>
          <w:lang w:val="es-ES" w:eastAsia="es-MX"/>
        </w:rPr>
        <w:t xml:space="preserve">, con el mayor </w:t>
      </w:r>
      <w:r w:rsidRPr="00342B7D">
        <w:rPr>
          <w:rFonts w:ascii="Palatino Linotype" w:eastAsia="Times New Roman" w:hAnsi="Palatino Linotype" w:cs="Arial"/>
          <w:b/>
          <w:sz w:val="24"/>
          <w:szCs w:val="24"/>
          <w:lang w:val="es-ES" w:eastAsia="es-MX"/>
        </w:rPr>
        <w:t>grado de desagregación posible</w:t>
      </w:r>
      <w:r w:rsidRPr="00185AB8">
        <w:rPr>
          <w:rFonts w:ascii="Palatino Linotype" w:eastAsia="Times New Roman" w:hAnsi="Palatino Linotype" w:cs="Arial"/>
          <w:sz w:val="24"/>
          <w:szCs w:val="24"/>
          <w:lang w:val="es-ES" w:eastAsia="es-MX"/>
        </w:rPr>
        <w:t>.</w:t>
      </w:r>
    </w:p>
    <w:p w:rsidR="00EF1914" w:rsidRDefault="00EF1914" w:rsidP="00827DC9">
      <w:pPr>
        <w:spacing w:before="240" w:after="240" w:line="360" w:lineRule="auto"/>
        <w:jc w:val="both"/>
        <w:rPr>
          <w:rFonts w:ascii="Palatino Linotype" w:eastAsia="Calibri" w:hAnsi="Palatino Linotype" w:cs="Arial"/>
          <w:sz w:val="24"/>
          <w:szCs w:val="24"/>
        </w:rPr>
      </w:pPr>
      <w:r w:rsidRPr="009E4729">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en términos del considerando QUINTO.</w:t>
      </w:r>
    </w:p>
    <w:p w:rsidR="00827DC9" w:rsidRDefault="00827DC9" w:rsidP="00827DC9">
      <w:pPr>
        <w:spacing w:after="0" w:line="360" w:lineRule="auto"/>
        <w:jc w:val="both"/>
        <w:rPr>
          <w:rFonts w:ascii="Palatino Linotype" w:eastAsia="MS Mincho" w:hAnsi="Palatino Linotype" w:cs="Times New Roman"/>
          <w:sz w:val="24"/>
          <w:szCs w:val="24"/>
          <w:lang w:val="es-ES_tradnl" w:eastAsia="es-ES"/>
        </w:rPr>
      </w:pPr>
      <w:r w:rsidRPr="00827DC9">
        <w:rPr>
          <w:rFonts w:ascii="Palatino Linotype" w:eastAsia="MS Mincho" w:hAnsi="Palatino Linotype" w:cs="Times New Roman"/>
          <w:sz w:val="24"/>
          <w:szCs w:val="24"/>
          <w:lang w:val="es-ES_tradnl" w:eastAsia="es-ES"/>
        </w:rPr>
        <w:lastRenderedPageBreak/>
        <w:t>Asimismo se ordena al Sujeto Obligado que previo a la</w:t>
      </w:r>
      <w:r>
        <w:rPr>
          <w:rFonts w:ascii="Palatino Linotype" w:eastAsia="MS Mincho" w:hAnsi="Palatino Linotype" w:cs="Times New Roman"/>
          <w:sz w:val="24"/>
          <w:szCs w:val="24"/>
          <w:lang w:val="es-ES_tradnl" w:eastAsia="es-ES"/>
        </w:rPr>
        <w:t xml:space="preserve"> entrega del </w:t>
      </w:r>
      <w:r w:rsidRPr="00827DC9">
        <w:rPr>
          <w:rFonts w:ascii="Palatino Linotype" w:eastAsia="MS Mincho" w:hAnsi="Palatino Linotype" w:cs="Times New Roman"/>
          <w:b/>
          <w:sz w:val="24"/>
          <w:szCs w:val="24"/>
          <w:lang w:val="es-ES" w:eastAsia="es-ES"/>
        </w:rPr>
        <w:t>CD-ROM sin costo</w:t>
      </w:r>
      <w:r>
        <w:rPr>
          <w:rFonts w:ascii="Palatino Linotype" w:eastAsia="MS Mincho" w:hAnsi="Palatino Linotype" w:cs="Times New Roman"/>
          <w:sz w:val="24"/>
          <w:szCs w:val="24"/>
          <w:lang w:val="es-ES_tradnl" w:eastAsia="es-ES"/>
        </w:rPr>
        <w:t xml:space="preserve">, </w:t>
      </w:r>
      <w:r w:rsidRPr="00827DC9">
        <w:rPr>
          <w:rFonts w:ascii="Palatino Linotype" w:eastAsia="MS Mincho" w:hAnsi="Palatino Linotype" w:cs="Times New Roman"/>
          <w:sz w:val="24"/>
          <w:szCs w:val="24"/>
          <w:lang w:val="es-ES_tradnl" w:eastAsia="es-ES"/>
        </w:rPr>
        <w:t xml:space="preserve">haga del conocimiento al Recurrente, el domicilio al cual deberá acudir, el nombre de la dependencia o área respectiva, los días y horarios de atención en los cuales podrá acceder a las documentales, la forma y procedimiento a seguir, así como el periodo durante el cual quedará a su disposición la información conforme a lo dispuesto por el artículo 166 de la Ley de Transparencia y Acceso a la Información Pública del Estado de México y Municipios.  </w:t>
      </w:r>
    </w:p>
    <w:p w:rsidR="000201D1" w:rsidRPr="00536841" w:rsidRDefault="000201D1" w:rsidP="000201D1">
      <w:pPr>
        <w:spacing w:before="240" w:after="360" w:line="360" w:lineRule="auto"/>
        <w:jc w:val="both"/>
        <w:rPr>
          <w:rFonts w:ascii="Palatino Linotype" w:eastAsia="MS Mincho" w:hAnsi="Palatino Linotype" w:cs="Times New Roman"/>
          <w:color w:val="000000"/>
          <w:sz w:val="24"/>
          <w:szCs w:val="24"/>
          <w:lang w:val="es-ES_tradnl" w:eastAsia="es-ES"/>
        </w:rPr>
      </w:pPr>
      <w:r w:rsidRPr="00536841">
        <w:rPr>
          <w:rFonts w:ascii="Palatino Linotype" w:eastAsia="MS Mincho" w:hAnsi="Palatino Linotype" w:cs="Times New Roman"/>
          <w:b/>
          <w:color w:val="000000"/>
          <w:sz w:val="24"/>
          <w:szCs w:val="24"/>
          <w:lang w:val="es-ES_tradnl" w:eastAsia="es-ES"/>
        </w:rPr>
        <w:t>TERCERO</w:t>
      </w:r>
      <w:r w:rsidRPr="00536841">
        <w:rPr>
          <w:rFonts w:ascii="Palatino Linotype" w:eastAsia="MS Mincho" w:hAnsi="Palatino Linotype" w:cs="Times New Roman"/>
          <w:color w:val="000000"/>
          <w:sz w:val="24"/>
          <w:szCs w:val="24"/>
          <w:lang w:val="es-ES_tradnl" w:eastAsia="es-ES"/>
        </w:rPr>
        <w:t>. Notifíquese al Titular de la Unidad de Transparencia del</w:t>
      </w:r>
      <w:r w:rsidRPr="00536841">
        <w:rPr>
          <w:rFonts w:ascii="Palatino Linotype" w:eastAsia="MS Mincho" w:hAnsi="Palatino Linotype" w:cs="Times New Roman"/>
          <w:b/>
          <w:color w:val="000000"/>
          <w:sz w:val="24"/>
          <w:szCs w:val="24"/>
          <w:lang w:val="es-ES_tradnl" w:eastAsia="es-ES"/>
        </w:rPr>
        <w:t xml:space="preserve"> SUJETO OBLIGADO</w:t>
      </w:r>
      <w:r w:rsidRPr="00536841">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0201D1" w:rsidRPr="00536841" w:rsidRDefault="000201D1" w:rsidP="000201D1">
      <w:pPr>
        <w:spacing w:before="240" w:after="360" w:line="360" w:lineRule="auto"/>
        <w:jc w:val="both"/>
        <w:rPr>
          <w:rFonts w:ascii="Palatino Linotype" w:eastAsia="MS Mincho" w:hAnsi="Palatino Linotype" w:cs="Times New Roman"/>
          <w:color w:val="000000"/>
          <w:sz w:val="24"/>
          <w:szCs w:val="24"/>
          <w:lang w:val="es-ES_tradnl" w:eastAsia="es-ES"/>
        </w:rPr>
      </w:pPr>
      <w:r w:rsidRPr="00536841">
        <w:rPr>
          <w:rFonts w:ascii="Palatino Linotype" w:eastAsia="MS Mincho" w:hAnsi="Palatino Linotype" w:cs="Times New Roman"/>
          <w:b/>
          <w:color w:val="000000"/>
          <w:sz w:val="24"/>
          <w:szCs w:val="24"/>
          <w:lang w:val="es-ES_tradnl" w:eastAsia="es-ES"/>
        </w:rPr>
        <w:t xml:space="preserve">CUARTO. </w:t>
      </w:r>
      <w:r w:rsidRPr="00536841">
        <w:rPr>
          <w:rFonts w:ascii="Palatino Linotype" w:eastAsia="MS Mincho" w:hAnsi="Palatino Linotype" w:cs="Times New Roman"/>
          <w:color w:val="000000"/>
          <w:sz w:val="24"/>
          <w:szCs w:val="24"/>
          <w:lang w:val="es-ES_tradnl" w:eastAsia="es-ES"/>
        </w:rPr>
        <w:t>Notifíquese a</w:t>
      </w:r>
      <w:r w:rsidRPr="00536841">
        <w:rPr>
          <w:rFonts w:ascii="Palatino Linotype" w:eastAsia="MS Mincho" w:hAnsi="Palatino Linotype" w:cs="Times New Roman"/>
          <w:b/>
          <w:color w:val="000000"/>
          <w:sz w:val="24"/>
          <w:szCs w:val="24"/>
          <w:lang w:val="es-ES_tradnl" w:eastAsia="es-ES"/>
        </w:rPr>
        <w:t xml:space="preserve"> </w:t>
      </w:r>
      <w:r w:rsidR="007F5DAA" w:rsidRPr="007F5DAA">
        <w:rPr>
          <w:rFonts w:ascii="Palatino Linotype" w:hAnsi="Palatino Linotype"/>
          <w:b/>
          <w:sz w:val="24"/>
          <w:szCs w:val="24"/>
          <w:highlight w:val="black"/>
        </w:rPr>
        <w:t>--------</w:t>
      </w:r>
      <w:r w:rsidR="004C1C0D">
        <w:rPr>
          <w:rFonts w:ascii="Palatino Linotype" w:hAnsi="Palatino Linotype"/>
          <w:b/>
          <w:sz w:val="24"/>
          <w:szCs w:val="24"/>
          <w:highlight w:val="black"/>
        </w:rPr>
        <w:t>--</w:t>
      </w:r>
      <w:bookmarkStart w:id="51" w:name="_GoBack"/>
      <w:bookmarkEnd w:id="51"/>
      <w:r w:rsidR="007F5DAA" w:rsidRPr="007F5DAA">
        <w:rPr>
          <w:rFonts w:ascii="Palatino Linotype" w:hAnsi="Palatino Linotype"/>
          <w:b/>
          <w:sz w:val="24"/>
          <w:szCs w:val="24"/>
          <w:highlight w:val="black"/>
        </w:rPr>
        <w:t>-------------</w:t>
      </w:r>
      <w:r w:rsidR="007F5DAA">
        <w:rPr>
          <w:rFonts w:ascii="Palatino Linotype" w:hAnsi="Palatino Linotype"/>
          <w:b/>
          <w:sz w:val="24"/>
          <w:szCs w:val="24"/>
          <w:highlight w:val="black"/>
        </w:rPr>
        <w:t>--</w:t>
      </w:r>
      <w:r w:rsidR="007F5DAA" w:rsidRPr="007F5DAA">
        <w:rPr>
          <w:rFonts w:ascii="Palatino Linotype" w:hAnsi="Palatino Linotype"/>
          <w:b/>
          <w:sz w:val="24"/>
          <w:szCs w:val="24"/>
          <w:highlight w:val="black"/>
        </w:rPr>
        <w:t>-----</w:t>
      </w:r>
      <w:r w:rsidR="00115B9B" w:rsidRPr="00536841">
        <w:rPr>
          <w:rFonts w:ascii="Palatino Linotype" w:eastAsia="MS Mincho" w:hAnsi="Palatino Linotype" w:cs="Times New Roman"/>
          <w:color w:val="000000"/>
          <w:sz w:val="24"/>
          <w:szCs w:val="24"/>
          <w:lang w:val="es-ES_tradnl" w:eastAsia="es-ES"/>
        </w:rPr>
        <w:t xml:space="preserve"> </w:t>
      </w:r>
      <w:r w:rsidRPr="00536841">
        <w:rPr>
          <w:rFonts w:ascii="Palatino Linotype" w:eastAsia="MS Mincho" w:hAnsi="Palatino Linotype" w:cs="Times New Roman"/>
          <w:color w:val="000000"/>
          <w:sz w:val="24"/>
          <w:szCs w:val="24"/>
          <w:lang w:val="es-ES_tradnl" w:eastAsia="es-ES"/>
        </w:rPr>
        <w:t>la presente resolución.</w:t>
      </w:r>
    </w:p>
    <w:p w:rsidR="00A82419" w:rsidRDefault="000201D1" w:rsidP="00203D33">
      <w:pPr>
        <w:spacing w:before="240" w:after="360" w:line="360" w:lineRule="auto"/>
        <w:jc w:val="both"/>
        <w:rPr>
          <w:rFonts w:ascii="Palatino Linotype" w:eastAsia="MS Mincho" w:hAnsi="Palatino Linotype" w:cs="Times New Roman"/>
          <w:color w:val="000000"/>
          <w:sz w:val="24"/>
          <w:szCs w:val="24"/>
          <w:lang w:val="es-ES_tradnl" w:eastAsia="es-ES"/>
        </w:rPr>
      </w:pPr>
      <w:r w:rsidRPr="00536841">
        <w:rPr>
          <w:rFonts w:ascii="Palatino Linotype" w:eastAsia="MS Mincho" w:hAnsi="Palatino Linotype" w:cs="Times New Roman"/>
          <w:b/>
          <w:color w:val="000000"/>
          <w:sz w:val="24"/>
          <w:szCs w:val="24"/>
          <w:lang w:val="es-ES_tradnl" w:eastAsia="es-ES"/>
        </w:rPr>
        <w:t xml:space="preserve">QUINTO. </w:t>
      </w:r>
      <w:r w:rsidRPr="00536841">
        <w:rPr>
          <w:rFonts w:ascii="Palatino Linotype" w:eastAsia="MS Mincho" w:hAnsi="Palatino Linotype" w:cs="Times New Roman"/>
          <w:color w:val="000000"/>
          <w:sz w:val="24"/>
          <w:szCs w:val="24"/>
          <w:lang w:val="es-ES_tradnl" w:eastAsia="es-ES"/>
        </w:rPr>
        <w:t xml:space="preserve">Se hace del conocimiento de </w:t>
      </w:r>
      <w:r w:rsidR="007F5DAA" w:rsidRPr="007F5DAA">
        <w:rPr>
          <w:rFonts w:ascii="Palatino Linotype" w:hAnsi="Palatino Linotype"/>
          <w:b/>
          <w:sz w:val="24"/>
          <w:szCs w:val="24"/>
          <w:highlight w:val="black"/>
        </w:rPr>
        <w:t>------------</w:t>
      </w:r>
      <w:r w:rsidR="004C1C0D">
        <w:rPr>
          <w:rFonts w:ascii="Palatino Linotype" w:hAnsi="Palatino Linotype"/>
          <w:b/>
          <w:sz w:val="24"/>
          <w:szCs w:val="24"/>
          <w:highlight w:val="black"/>
        </w:rPr>
        <w:t>---</w:t>
      </w:r>
      <w:r w:rsidR="007F5DAA" w:rsidRPr="007F5DAA">
        <w:rPr>
          <w:rFonts w:ascii="Palatino Linotype" w:hAnsi="Palatino Linotype"/>
          <w:b/>
          <w:sz w:val="24"/>
          <w:szCs w:val="24"/>
          <w:highlight w:val="black"/>
        </w:rPr>
        <w:t>-----------</w:t>
      </w:r>
      <w:r w:rsidR="00115B9B" w:rsidRPr="00536841">
        <w:rPr>
          <w:rFonts w:ascii="Palatino Linotype" w:eastAsia="MS Mincho" w:hAnsi="Palatino Linotype" w:cs="Times New Roman"/>
          <w:color w:val="000000"/>
          <w:sz w:val="24"/>
          <w:szCs w:val="24"/>
          <w:lang w:val="es-ES_tradnl" w:eastAsia="es-ES"/>
        </w:rPr>
        <w:t xml:space="preserve"> </w:t>
      </w:r>
      <w:r w:rsidRPr="00536841">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0"/>
    </w:p>
    <w:p w:rsidR="00FB39A0" w:rsidRDefault="00FB39A0" w:rsidP="00FB39A0">
      <w:pPr>
        <w:shd w:val="clear" w:color="auto" w:fill="FFFFFF"/>
        <w:spacing w:before="240" w:after="360" w:line="360" w:lineRule="auto"/>
        <w:jc w:val="both"/>
        <w:rPr>
          <w:rFonts w:ascii="Palatino Linotype" w:eastAsiaTheme="minorEastAsia" w:hAnsi="Palatino Linotype"/>
          <w:sz w:val="24"/>
          <w:szCs w:val="24"/>
          <w:lang w:val="es-ES_tradnl" w:eastAsia="es-ES"/>
        </w:rPr>
      </w:pPr>
      <w:r w:rsidRPr="00431308">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w:t>
      </w:r>
      <w:r w:rsidRPr="00431308">
        <w:rPr>
          <w:rFonts w:ascii="Palatino Linotype" w:eastAsiaTheme="minorEastAsia" w:hAnsi="Palatino Linotype"/>
          <w:sz w:val="24"/>
          <w:szCs w:val="24"/>
          <w:lang w:val="es-ES_tradnl" w:eastAsia="es-ES"/>
        </w:rPr>
        <w:lastRenderedPageBreak/>
        <w:t>PROTECCIÓN DE DATOS PERSONALES DEL ESTADO DE MÉXICO Y MUNICIPIOS, CONFORMADO POR LOS COMISIONADOS ZULEMA MARTÍNEZ SÁNCHEZ; EVA ABAID YAPUR; JOSÉ GUADALUPE LUNA HERNÁNDEZ</w:t>
      </w:r>
      <w:r>
        <w:rPr>
          <w:rFonts w:ascii="Palatino Linotype" w:eastAsiaTheme="minorEastAsia" w:hAnsi="Palatino Linotype"/>
          <w:sz w:val="24"/>
          <w:szCs w:val="24"/>
          <w:lang w:val="es-ES_tradnl" w:eastAsia="es-ES"/>
        </w:rPr>
        <w:t xml:space="preserve"> Y </w:t>
      </w:r>
      <w:r w:rsidRPr="00431308">
        <w:rPr>
          <w:rFonts w:ascii="Palatino Linotype" w:eastAsiaTheme="minorEastAsia" w:hAnsi="Palatino Linotype"/>
          <w:sz w:val="24"/>
          <w:szCs w:val="24"/>
          <w:lang w:val="es-ES_tradnl" w:eastAsia="es-ES"/>
        </w:rPr>
        <w:t xml:space="preserve">JAVIER MARTÍNEZ CRUZ; EN LA </w:t>
      </w:r>
      <w:r>
        <w:rPr>
          <w:rFonts w:ascii="Palatino Linotype" w:eastAsiaTheme="minorEastAsia" w:hAnsi="Palatino Linotype"/>
          <w:sz w:val="24"/>
          <w:szCs w:val="24"/>
          <w:lang w:val="es-ES_tradnl" w:eastAsia="es-ES"/>
        </w:rPr>
        <w:t>TRIGÉSIMA</w:t>
      </w:r>
      <w:r w:rsidRPr="00431308">
        <w:rPr>
          <w:rFonts w:ascii="Palatino Linotype" w:eastAsiaTheme="minorEastAsia" w:hAnsi="Palatino Linotype"/>
          <w:sz w:val="24"/>
          <w:szCs w:val="24"/>
          <w:lang w:val="es-ES_tradnl" w:eastAsia="es-ES"/>
        </w:rPr>
        <w:t xml:space="preserve"> SESIÓN ORDINARIA CELEBRADA EL DÍA </w:t>
      </w:r>
      <w:r>
        <w:rPr>
          <w:rFonts w:ascii="Palatino Linotype" w:eastAsiaTheme="minorEastAsia" w:hAnsi="Palatino Linotype"/>
          <w:sz w:val="24"/>
          <w:szCs w:val="24"/>
          <w:lang w:val="es-ES_tradnl" w:eastAsia="es-ES"/>
        </w:rPr>
        <w:t>VEINTIDÓS</w:t>
      </w:r>
      <w:r w:rsidRPr="00431308">
        <w:rPr>
          <w:rFonts w:ascii="Palatino Linotype" w:eastAsiaTheme="minorEastAsia" w:hAnsi="Palatino Linotype"/>
          <w:sz w:val="24"/>
          <w:szCs w:val="24"/>
          <w:lang w:val="es-ES_tradnl" w:eastAsia="es-ES"/>
        </w:rPr>
        <w:t xml:space="preserve"> (</w:t>
      </w:r>
      <w:r>
        <w:rPr>
          <w:rFonts w:ascii="Palatino Linotype" w:eastAsiaTheme="minorEastAsia" w:hAnsi="Palatino Linotype"/>
          <w:sz w:val="24"/>
          <w:szCs w:val="24"/>
          <w:lang w:val="es-ES_tradnl" w:eastAsia="es-ES"/>
        </w:rPr>
        <w:t>22</w:t>
      </w:r>
      <w:r w:rsidRPr="00431308">
        <w:rPr>
          <w:rFonts w:ascii="Palatino Linotype" w:eastAsiaTheme="minorEastAsia" w:hAnsi="Palatino Linotype"/>
          <w:sz w:val="24"/>
          <w:szCs w:val="24"/>
          <w:lang w:val="es-ES_tradnl" w:eastAsia="es-ES"/>
        </w:rPr>
        <w:t xml:space="preserve">) DE </w:t>
      </w:r>
      <w:r>
        <w:rPr>
          <w:rFonts w:ascii="Palatino Linotype" w:eastAsiaTheme="minorEastAsia" w:hAnsi="Palatino Linotype"/>
          <w:sz w:val="24"/>
          <w:szCs w:val="24"/>
          <w:lang w:val="es-ES_tradnl" w:eastAsia="es-ES"/>
        </w:rPr>
        <w:t>AGOSTO</w:t>
      </w:r>
      <w:r w:rsidRPr="00431308">
        <w:rPr>
          <w:rFonts w:ascii="Palatino Linotype" w:eastAsiaTheme="minorEastAsia" w:hAnsi="Palatino Linotype"/>
          <w:sz w:val="24"/>
          <w:szCs w:val="24"/>
          <w:lang w:val="es-ES_tradnl" w:eastAsia="es-ES"/>
        </w:rPr>
        <w:t xml:space="preserve"> DE DOS MIL DIECIOCHO, ANTE EL SECRETARIO TÉCNICO DEL PLENO ALEXIS TAPIA RAMÍREZ</w:t>
      </w:r>
      <w:r>
        <w:rPr>
          <w:rFonts w:ascii="Palatino Linotype" w:eastAsiaTheme="minorEastAsia" w:hAnsi="Palatino Linotype"/>
          <w:sz w:val="24"/>
          <w:szCs w:val="24"/>
          <w:lang w:val="es-ES_tradnl" w:eastAsia="es-ES"/>
        </w:rPr>
        <w:t>.</w:t>
      </w:r>
    </w:p>
    <w:tbl>
      <w:tblPr>
        <w:tblStyle w:val="Tablaconcuadrcula"/>
        <w:tblW w:w="8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00"/>
      </w:tblGrid>
      <w:tr w:rsidR="00FB39A0" w:rsidRPr="00431308" w:rsidTr="002017B2">
        <w:trPr>
          <w:trHeight w:val="1683"/>
        </w:trPr>
        <w:tc>
          <w:tcPr>
            <w:tcW w:w="8999" w:type="dxa"/>
            <w:gridSpan w:val="2"/>
            <w:vAlign w:val="center"/>
          </w:tcPr>
          <w:p w:rsidR="00FB39A0" w:rsidRPr="00431308" w:rsidRDefault="00FB39A0" w:rsidP="00A043C4">
            <w:pPr>
              <w:jc w:val="center"/>
              <w:rPr>
                <w:rFonts w:ascii="Palatino Linotype" w:hAnsi="Palatino Linotype"/>
                <w:b/>
                <w:sz w:val="23"/>
                <w:szCs w:val="23"/>
              </w:rPr>
            </w:pPr>
            <w:r w:rsidRPr="00431308">
              <w:rPr>
                <w:rFonts w:ascii="Palatino Linotype" w:hAnsi="Palatino Linotype"/>
                <w:b/>
                <w:sz w:val="23"/>
                <w:szCs w:val="23"/>
              </w:rPr>
              <w:t>Zulema Martínez Sánchez</w:t>
            </w:r>
          </w:p>
          <w:p w:rsidR="00FB39A0" w:rsidRPr="00431308" w:rsidRDefault="00FB39A0" w:rsidP="00A043C4">
            <w:pPr>
              <w:jc w:val="center"/>
              <w:rPr>
                <w:rFonts w:ascii="Palatino Linotype" w:hAnsi="Palatino Linotype"/>
                <w:sz w:val="23"/>
                <w:szCs w:val="23"/>
              </w:rPr>
            </w:pPr>
            <w:r w:rsidRPr="00431308">
              <w:rPr>
                <w:rFonts w:ascii="Palatino Linotype" w:hAnsi="Palatino Linotype"/>
                <w:sz w:val="23"/>
                <w:szCs w:val="23"/>
              </w:rPr>
              <w:t>Comisionada Presidenta</w:t>
            </w:r>
          </w:p>
          <w:p w:rsidR="00FB39A0" w:rsidRPr="00431308" w:rsidRDefault="00FB39A0" w:rsidP="00FB39A0">
            <w:pPr>
              <w:jc w:val="center"/>
              <w:rPr>
                <w:rFonts w:ascii="Palatino Linotype" w:hAnsi="Palatino Linotype"/>
                <w:sz w:val="23"/>
                <w:szCs w:val="23"/>
              </w:rPr>
            </w:pPr>
            <w:r w:rsidRPr="00431308">
              <w:rPr>
                <w:rFonts w:ascii="Palatino Linotype" w:hAnsi="Palatino Linotype"/>
                <w:sz w:val="23"/>
                <w:szCs w:val="23"/>
              </w:rPr>
              <w:t>(Rúbrica)</w:t>
            </w:r>
          </w:p>
        </w:tc>
      </w:tr>
      <w:tr w:rsidR="00FB39A0" w:rsidRPr="00431308" w:rsidTr="002017B2">
        <w:trPr>
          <w:trHeight w:val="2008"/>
        </w:trPr>
        <w:tc>
          <w:tcPr>
            <w:tcW w:w="4499" w:type="dxa"/>
            <w:vAlign w:val="center"/>
          </w:tcPr>
          <w:p w:rsidR="00FB39A0" w:rsidRPr="00431308" w:rsidRDefault="00FB39A0" w:rsidP="00A043C4">
            <w:pPr>
              <w:jc w:val="center"/>
              <w:rPr>
                <w:rFonts w:ascii="Palatino Linotype" w:hAnsi="Palatino Linotype"/>
                <w:b/>
                <w:sz w:val="23"/>
                <w:szCs w:val="23"/>
              </w:rPr>
            </w:pPr>
            <w:r w:rsidRPr="00431308">
              <w:rPr>
                <w:rFonts w:ascii="Palatino Linotype" w:hAnsi="Palatino Linotype"/>
                <w:b/>
                <w:sz w:val="23"/>
                <w:szCs w:val="23"/>
              </w:rPr>
              <w:t xml:space="preserve">Eva </w:t>
            </w:r>
            <w:proofErr w:type="spellStart"/>
            <w:r w:rsidRPr="00431308">
              <w:rPr>
                <w:rFonts w:ascii="Palatino Linotype" w:hAnsi="Palatino Linotype"/>
                <w:b/>
                <w:sz w:val="23"/>
                <w:szCs w:val="23"/>
              </w:rPr>
              <w:t>Abaid</w:t>
            </w:r>
            <w:proofErr w:type="spellEnd"/>
            <w:r w:rsidRPr="00431308">
              <w:rPr>
                <w:rFonts w:ascii="Palatino Linotype" w:hAnsi="Palatino Linotype"/>
                <w:b/>
                <w:sz w:val="23"/>
                <w:szCs w:val="23"/>
              </w:rPr>
              <w:t xml:space="preserve"> </w:t>
            </w:r>
            <w:proofErr w:type="spellStart"/>
            <w:r w:rsidRPr="00431308">
              <w:rPr>
                <w:rFonts w:ascii="Palatino Linotype" w:hAnsi="Palatino Linotype"/>
                <w:b/>
                <w:sz w:val="23"/>
                <w:szCs w:val="23"/>
              </w:rPr>
              <w:t>Yapur</w:t>
            </w:r>
            <w:proofErr w:type="spellEnd"/>
          </w:p>
          <w:p w:rsidR="00FB39A0" w:rsidRPr="00431308" w:rsidRDefault="00FB39A0" w:rsidP="00A043C4">
            <w:pPr>
              <w:jc w:val="center"/>
              <w:rPr>
                <w:rFonts w:ascii="Palatino Linotype" w:hAnsi="Palatino Linotype"/>
                <w:sz w:val="23"/>
                <w:szCs w:val="23"/>
              </w:rPr>
            </w:pPr>
            <w:r w:rsidRPr="00431308">
              <w:rPr>
                <w:rFonts w:ascii="Palatino Linotype" w:hAnsi="Palatino Linotype"/>
                <w:sz w:val="23"/>
                <w:szCs w:val="23"/>
              </w:rPr>
              <w:t>Comisionada</w:t>
            </w:r>
          </w:p>
          <w:p w:rsidR="00FB39A0" w:rsidRPr="00431308" w:rsidRDefault="00FB39A0" w:rsidP="00A043C4">
            <w:pPr>
              <w:jc w:val="center"/>
              <w:rPr>
                <w:rFonts w:ascii="Palatino Linotype" w:hAnsi="Palatino Linotype"/>
                <w:sz w:val="23"/>
                <w:szCs w:val="23"/>
              </w:rPr>
            </w:pPr>
            <w:r w:rsidRPr="00431308">
              <w:rPr>
                <w:rFonts w:ascii="Palatino Linotype" w:hAnsi="Palatino Linotype"/>
                <w:sz w:val="23"/>
                <w:szCs w:val="23"/>
              </w:rPr>
              <w:t>(Rúbrica)</w:t>
            </w:r>
          </w:p>
        </w:tc>
        <w:tc>
          <w:tcPr>
            <w:tcW w:w="4500" w:type="dxa"/>
            <w:vAlign w:val="center"/>
          </w:tcPr>
          <w:p w:rsidR="002017B2" w:rsidRDefault="00FB39A0" w:rsidP="00FB39A0">
            <w:pPr>
              <w:rPr>
                <w:rFonts w:ascii="Palatino Linotype" w:hAnsi="Palatino Linotype" w:cs="Arial"/>
                <w:b/>
                <w:sz w:val="23"/>
                <w:szCs w:val="23"/>
              </w:rPr>
            </w:pPr>
            <w:r w:rsidRPr="00431308">
              <w:rPr>
                <w:rFonts w:ascii="Palatino Linotype" w:hAnsi="Palatino Linotype" w:cs="Arial"/>
                <w:b/>
                <w:sz w:val="23"/>
                <w:szCs w:val="23"/>
              </w:rPr>
              <w:t xml:space="preserve"> </w:t>
            </w:r>
          </w:p>
          <w:p w:rsidR="00FB39A0" w:rsidRPr="00431308" w:rsidRDefault="00FB39A0" w:rsidP="00FB39A0">
            <w:pPr>
              <w:rPr>
                <w:rFonts w:ascii="Palatino Linotype" w:hAnsi="Palatino Linotype"/>
                <w:b/>
                <w:sz w:val="23"/>
                <w:szCs w:val="23"/>
              </w:rPr>
            </w:pPr>
            <w:r w:rsidRPr="00431308">
              <w:rPr>
                <w:rFonts w:ascii="Palatino Linotype" w:hAnsi="Palatino Linotype" w:cs="Arial"/>
                <w:b/>
                <w:sz w:val="23"/>
                <w:szCs w:val="23"/>
              </w:rPr>
              <w:t>José Guadalupe Luna Hernández</w:t>
            </w:r>
          </w:p>
          <w:p w:rsidR="00FB39A0" w:rsidRPr="00431308" w:rsidRDefault="00FB39A0" w:rsidP="00A043C4">
            <w:pPr>
              <w:jc w:val="center"/>
              <w:rPr>
                <w:rFonts w:ascii="Palatino Linotype" w:hAnsi="Palatino Linotype"/>
                <w:sz w:val="23"/>
                <w:szCs w:val="23"/>
              </w:rPr>
            </w:pPr>
            <w:r w:rsidRPr="00431308">
              <w:rPr>
                <w:rFonts w:ascii="Palatino Linotype" w:hAnsi="Palatino Linotype"/>
                <w:sz w:val="23"/>
                <w:szCs w:val="23"/>
              </w:rPr>
              <w:t xml:space="preserve"> Comisionado</w:t>
            </w:r>
          </w:p>
          <w:p w:rsidR="00FB39A0" w:rsidRPr="00431308" w:rsidRDefault="00FB39A0" w:rsidP="00A043C4">
            <w:pPr>
              <w:jc w:val="center"/>
              <w:rPr>
                <w:rFonts w:ascii="Palatino Linotype" w:hAnsi="Palatino Linotype"/>
                <w:sz w:val="23"/>
                <w:szCs w:val="23"/>
              </w:rPr>
            </w:pPr>
            <w:r w:rsidRPr="00431308">
              <w:rPr>
                <w:rFonts w:ascii="Palatino Linotype" w:hAnsi="Palatino Linotype"/>
                <w:sz w:val="23"/>
                <w:szCs w:val="23"/>
              </w:rPr>
              <w:t>(Rúbrica)</w:t>
            </w:r>
          </w:p>
          <w:p w:rsidR="00FB39A0" w:rsidRPr="00431308" w:rsidRDefault="00FB39A0" w:rsidP="00A043C4">
            <w:pPr>
              <w:jc w:val="center"/>
              <w:rPr>
                <w:rFonts w:ascii="Palatino Linotype" w:hAnsi="Palatino Linotype"/>
                <w:sz w:val="23"/>
                <w:szCs w:val="23"/>
              </w:rPr>
            </w:pPr>
          </w:p>
        </w:tc>
      </w:tr>
      <w:tr w:rsidR="00FB39A0" w:rsidRPr="00431308" w:rsidTr="002017B2">
        <w:trPr>
          <w:trHeight w:val="1819"/>
        </w:trPr>
        <w:tc>
          <w:tcPr>
            <w:tcW w:w="8999" w:type="dxa"/>
            <w:gridSpan w:val="2"/>
            <w:vAlign w:val="center"/>
          </w:tcPr>
          <w:p w:rsidR="00FB39A0" w:rsidRPr="00431308" w:rsidRDefault="00FB39A0" w:rsidP="00A043C4">
            <w:pPr>
              <w:jc w:val="center"/>
              <w:rPr>
                <w:rFonts w:ascii="Palatino Linotype" w:hAnsi="Palatino Linotype" w:cs="Arial"/>
                <w:b/>
                <w:sz w:val="23"/>
                <w:szCs w:val="23"/>
              </w:rPr>
            </w:pPr>
            <w:r w:rsidRPr="00431308">
              <w:rPr>
                <w:rFonts w:ascii="Palatino Linotype" w:hAnsi="Palatino Linotype" w:cs="Arial"/>
                <w:b/>
                <w:sz w:val="23"/>
                <w:szCs w:val="23"/>
              </w:rPr>
              <w:t>Javier Martínez Cruz</w:t>
            </w:r>
          </w:p>
          <w:p w:rsidR="00FB39A0" w:rsidRPr="00431308" w:rsidRDefault="00FB39A0" w:rsidP="00A043C4">
            <w:pPr>
              <w:jc w:val="center"/>
              <w:rPr>
                <w:rFonts w:ascii="Palatino Linotype" w:hAnsi="Palatino Linotype" w:cs="Arial"/>
                <w:sz w:val="23"/>
                <w:szCs w:val="23"/>
              </w:rPr>
            </w:pPr>
            <w:r w:rsidRPr="00431308">
              <w:rPr>
                <w:rFonts w:ascii="Palatino Linotype" w:hAnsi="Palatino Linotype" w:cs="Arial"/>
                <w:sz w:val="23"/>
                <w:szCs w:val="23"/>
              </w:rPr>
              <w:t>Comisionado</w:t>
            </w:r>
          </w:p>
          <w:p w:rsidR="00FB39A0" w:rsidRPr="00FB39A0" w:rsidRDefault="00FB39A0" w:rsidP="00FB39A0">
            <w:pPr>
              <w:jc w:val="center"/>
              <w:rPr>
                <w:rFonts w:ascii="Palatino Linotype" w:hAnsi="Palatino Linotype"/>
                <w:sz w:val="23"/>
                <w:szCs w:val="23"/>
              </w:rPr>
            </w:pPr>
            <w:r w:rsidRPr="00431308">
              <w:rPr>
                <w:rFonts w:ascii="Palatino Linotype" w:hAnsi="Palatino Linotype"/>
                <w:sz w:val="23"/>
                <w:szCs w:val="23"/>
              </w:rPr>
              <w:t>(Rúbrica)</w:t>
            </w:r>
          </w:p>
        </w:tc>
      </w:tr>
      <w:tr w:rsidR="00FB39A0" w:rsidRPr="00431308" w:rsidTr="002017B2">
        <w:trPr>
          <w:trHeight w:val="1438"/>
        </w:trPr>
        <w:tc>
          <w:tcPr>
            <w:tcW w:w="8999" w:type="dxa"/>
            <w:gridSpan w:val="2"/>
            <w:vAlign w:val="center"/>
          </w:tcPr>
          <w:p w:rsidR="00FB39A0" w:rsidRPr="00431308" w:rsidRDefault="00FB39A0" w:rsidP="00A043C4">
            <w:pPr>
              <w:rPr>
                <w:rFonts w:ascii="Palatino Linotype" w:hAnsi="Palatino Linotype" w:cs="Arial"/>
                <w:b/>
                <w:sz w:val="23"/>
                <w:szCs w:val="23"/>
              </w:rPr>
            </w:pPr>
          </w:p>
          <w:p w:rsidR="00FB39A0" w:rsidRPr="00431308" w:rsidRDefault="00FB39A0" w:rsidP="00A043C4">
            <w:pPr>
              <w:jc w:val="center"/>
              <w:rPr>
                <w:rFonts w:ascii="Palatino Linotype" w:hAnsi="Palatino Linotype"/>
                <w:b/>
                <w:sz w:val="23"/>
                <w:szCs w:val="23"/>
              </w:rPr>
            </w:pPr>
            <w:r w:rsidRPr="00431308">
              <w:rPr>
                <w:rFonts w:ascii="Palatino Linotype" w:hAnsi="Palatino Linotype" w:cs="Arial"/>
                <w:b/>
                <w:sz w:val="23"/>
                <w:szCs w:val="23"/>
              </w:rPr>
              <w:t>Alexis Tapia Ramírez</w:t>
            </w:r>
          </w:p>
          <w:p w:rsidR="00FB39A0" w:rsidRPr="00431308" w:rsidRDefault="00FB39A0" w:rsidP="00A043C4">
            <w:pPr>
              <w:jc w:val="center"/>
              <w:rPr>
                <w:rFonts w:ascii="Palatino Linotype" w:hAnsi="Palatino Linotype"/>
                <w:sz w:val="23"/>
                <w:szCs w:val="23"/>
              </w:rPr>
            </w:pPr>
            <w:r w:rsidRPr="00431308">
              <w:rPr>
                <w:rFonts w:ascii="Palatino Linotype" w:hAnsi="Palatino Linotype"/>
                <w:sz w:val="23"/>
                <w:szCs w:val="23"/>
              </w:rPr>
              <w:t>Secretario Técnico del Pleno</w:t>
            </w:r>
          </w:p>
          <w:p w:rsidR="00FB39A0" w:rsidRPr="00431308" w:rsidRDefault="00FB39A0" w:rsidP="002017B2">
            <w:pPr>
              <w:jc w:val="center"/>
              <w:rPr>
                <w:rFonts w:ascii="Palatino Linotype" w:hAnsi="Palatino Linotype"/>
                <w:sz w:val="23"/>
                <w:szCs w:val="23"/>
              </w:rPr>
            </w:pPr>
            <w:r w:rsidRPr="00431308">
              <w:rPr>
                <w:rFonts w:ascii="Palatino Linotype" w:hAnsi="Palatino Linotype"/>
                <w:sz w:val="23"/>
                <w:szCs w:val="23"/>
              </w:rPr>
              <w:t>(Rúbrica)</w:t>
            </w:r>
          </w:p>
        </w:tc>
      </w:tr>
    </w:tbl>
    <w:p w:rsidR="00DE6AF4" w:rsidRPr="002017B2" w:rsidRDefault="00FB39A0" w:rsidP="002017B2">
      <w:pPr>
        <w:spacing w:after="0" w:line="240" w:lineRule="auto"/>
        <w:jc w:val="both"/>
        <w:rPr>
          <w:rFonts w:ascii="Palatino Linotype" w:eastAsia="MS Mincho" w:hAnsi="Palatino Linotype" w:cs="Times New Roman"/>
          <w:sz w:val="24"/>
          <w:szCs w:val="24"/>
          <w:lang w:eastAsia="es-ES"/>
        </w:rPr>
      </w:pPr>
      <w:r w:rsidRPr="00431308">
        <w:rPr>
          <w:rFonts w:ascii="Palatino Linotype" w:eastAsia="Times New Roman" w:hAnsi="Palatino Linotype" w:cs="Arial"/>
          <w:color w:val="000000" w:themeColor="text1"/>
          <w:sz w:val="24"/>
          <w:szCs w:val="24"/>
          <w:lang w:val="es-ES_tradnl" w:eastAsia="es-ES"/>
        </w:rPr>
        <w:t xml:space="preserve">Esta hoja corresponde a la resolución de </w:t>
      </w:r>
      <w:r>
        <w:rPr>
          <w:rFonts w:ascii="Palatino Linotype" w:eastAsia="Times New Roman" w:hAnsi="Palatino Linotype" w:cs="Arial"/>
          <w:color w:val="000000" w:themeColor="text1"/>
          <w:sz w:val="24"/>
          <w:szCs w:val="24"/>
          <w:lang w:val="es-ES_tradnl" w:eastAsia="es-ES"/>
        </w:rPr>
        <w:t>veintidós</w:t>
      </w:r>
      <w:r w:rsidRPr="00431308">
        <w:rPr>
          <w:rFonts w:ascii="Palatino Linotype" w:eastAsia="Times New Roman" w:hAnsi="Palatino Linotype" w:cs="Arial"/>
          <w:color w:val="000000" w:themeColor="text1"/>
          <w:sz w:val="24"/>
          <w:szCs w:val="24"/>
          <w:lang w:val="es-ES_tradnl" w:eastAsia="es-ES"/>
        </w:rPr>
        <w:t xml:space="preserve"> de </w:t>
      </w:r>
      <w:r>
        <w:rPr>
          <w:rFonts w:ascii="Palatino Linotype" w:eastAsia="Times New Roman" w:hAnsi="Palatino Linotype" w:cs="Arial"/>
          <w:color w:val="000000" w:themeColor="text1"/>
          <w:sz w:val="24"/>
          <w:szCs w:val="24"/>
          <w:lang w:val="es-ES_tradnl" w:eastAsia="es-ES"/>
        </w:rPr>
        <w:t>agosto</w:t>
      </w:r>
      <w:r w:rsidRPr="00431308">
        <w:rPr>
          <w:rFonts w:ascii="Palatino Linotype" w:eastAsia="Times New Roman" w:hAnsi="Palatino Linotype" w:cs="Arial"/>
          <w:color w:val="000000" w:themeColor="text1"/>
          <w:sz w:val="24"/>
          <w:szCs w:val="24"/>
          <w:lang w:val="es-ES_tradnl" w:eastAsia="es-ES"/>
        </w:rPr>
        <w:t xml:space="preserve"> de dos mil dieciocho, emitida en el recurso de revisión </w:t>
      </w:r>
      <w:r w:rsidR="002017B2">
        <w:rPr>
          <w:rFonts w:ascii="Palatino Linotype" w:eastAsiaTheme="minorEastAsia" w:hAnsi="Palatino Linotype" w:cs="Arial"/>
          <w:b/>
          <w:bCs/>
          <w:sz w:val="24"/>
          <w:szCs w:val="24"/>
          <w:lang w:val="es-ES_tradnl" w:eastAsia="es-ES"/>
        </w:rPr>
        <w:t>02398</w:t>
      </w:r>
      <w:r w:rsidRPr="00431308">
        <w:rPr>
          <w:rFonts w:ascii="Palatino Linotype" w:eastAsiaTheme="minorEastAsia" w:hAnsi="Palatino Linotype" w:cs="Arial"/>
          <w:b/>
          <w:bCs/>
          <w:sz w:val="24"/>
          <w:szCs w:val="24"/>
          <w:lang w:val="es-ES_tradnl" w:eastAsia="es-ES"/>
        </w:rPr>
        <w:t>/INFOEM/IP/RR/2018</w:t>
      </w:r>
      <w:r w:rsidRPr="00431308">
        <w:rPr>
          <w:rFonts w:ascii="Palatino Linotype" w:eastAsia="Times New Roman" w:hAnsi="Palatino Linotype" w:cs="Arial"/>
          <w:color w:val="000000" w:themeColor="text1"/>
          <w:sz w:val="24"/>
          <w:szCs w:val="24"/>
          <w:lang w:val="es-ES_tradnl" w:eastAsia="es-ES"/>
        </w:rPr>
        <w:t xml:space="preserve"> </w:t>
      </w:r>
      <w:r w:rsidRPr="00431308">
        <w:rPr>
          <w:rFonts w:ascii="Palatino Linotype" w:eastAsia="Times New Roman" w:hAnsi="Palatino Linotype" w:cs="Arial"/>
          <w:b/>
          <w:color w:val="000000" w:themeColor="text1"/>
          <w:sz w:val="24"/>
          <w:szCs w:val="24"/>
          <w:lang w:val="es-ES_tradnl" w:eastAsia="es-ES"/>
        </w:rPr>
        <w:t>y acumulado</w:t>
      </w:r>
      <w:r w:rsidR="002017B2">
        <w:rPr>
          <w:rFonts w:ascii="Palatino Linotype" w:eastAsia="Times New Roman" w:hAnsi="Palatino Linotype" w:cs="Arial"/>
          <w:b/>
          <w:color w:val="000000" w:themeColor="text1"/>
          <w:sz w:val="24"/>
          <w:szCs w:val="24"/>
          <w:lang w:val="es-ES_tradnl" w:eastAsia="es-ES"/>
        </w:rPr>
        <w:t>.</w:t>
      </w:r>
    </w:p>
    <w:sectPr w:rsidR="00DE6AF4" w:rsidRPr="002017B2" w:rsidSect="009A4582">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5C8" w:rsidRDefault="00CE55C8" w:rsidP="00792776">
      <w:pPr>
        <w:spacing w:after="0" w:line="240" w:lineRule="auto"/>
      </w:pPr>
      <w:r>
        <w:separator/>
      </w:r>
    </w:p>
  </w:endnote>
  <w:endnote w:type="continuationSeparator" w:id="0">
    <w:p w:rsidR="00CE55C8" w:rsidRDefault="00CE55C8"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3707A7" w:rsidRPr="00883450" w:rsidRDefault="003707A7"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C1C0D">
              <w:rPr>
                <w:rFonts w:ascii="Palatino Linotype" w:hAnsi="Palatino Linotype"/>
                <w:b/>
                <w:bCs/>
                <w:noProof/>
                <w:szCs w:val="20"/>
              </w:rPr>
              <w:t>47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C1C0D">
              <w:rPr>
                <w:rFonts w:ascii="Palatino Linotype" w:hAnsi="Palatino Linotype"/>
                <w:b/>
                <w:bCs/>
                <w:noProof/>
                <w:szCs w:val="20"/>
              </w:rPr>
              <w:t>49</w:t>
            </w:r>
            <w:r w:rsidRPr="00883450">
              <w:rPr>
                <w:rFonts w:ascii="Palatino Linotype" w:hAnsi="Palatino Linotype"/>
                <w:b/>
                <w:bCs/>
                <w:szCs w:val="20"/>
              </w:rPr>
              <w:fldChar w:fldCharType="end"/>
            </w:r>
          </w:p>
        </w:sdtContent>
      </w:sdt>
    </w:sdtContent>
  </w:sdt>
  <w:p w:rsidR="003707A7" w:rsidRDefault="003707A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7A7" w:rsidRPr="00883450" w:rsidRDefault="003707A7"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4C1C0D" w:rsidRPr="004C1C0D">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4C1C0D" w:rsidRPr="004C1C0D">
      <w:rPr>
        <w:rFonts w:ascii="Palatino Linotype" w:hAnsi="Palatino Linotype"/>
        <w:noProof/>
        <w:lang w:val="es-ES"/>
      </w:rPr>
      <w:t>49</w:t>
    </w:r>
    <w:r w:rsidRPr="00883450">
      <w:rPr>
        <w:rFonts w:ascii="Palatino Linotype" w:hAnsi="Palatino Linotype"/>
      </w:rPr>
      <w:fldChar w:fldCharType="end"/>
    </w:r>
  </w:p>
  <w:p w:rsidR="003707A7" w:rsidRPr="00883450" w:rsidRDefault="003707A7">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5C8" w:rsidRDefault="00CE55C8" w:rsidP="00792776">
      <w:pPr>
        <w:spacing w:after="0" w:line="240" w:lineRule="auto"/>
      </w:pPr>
      <w:r>
        <w:separator/>
      </w:r>
    </w:p>
  </w:footnote>
  <w:footnote w:type="continuationSeparator" w:id="0">
    <w:p w:rsidR="00CE55C8" w:rsidRDefault="00CE55C8" w:rsidP="00792776">
      <w:pPr>
        <w:spacing w:after="0" w:line="240" w:lineRule="auto"/>
      </w:pPr>
      <w:r>
        <w:continuationSeparator/>
      </w:r>
    </w:p>
  </w:footnote>
  <w:footnote w:id="1">
    <w:p w:rsidR="00825161" w:rsidRDefault="00825161">
      <w:pPr>
        <w:pStyle w:val="Textonotapie"/>
      </w:pPr>
      <w:r>
        <w:rPr>
          <w:rStyle w:val="Refdenotaalpie"/>
        </w:rPr>
        <w:footnoteRef/>
      </w:r>
      <w:r>
        <w:t xml:space="preserve"> En virtud de la redacción de la solicitud de información. </w:t>
      </w:r>
    </w:p>
  </w:footnote>
  <w:footnote w:id="2">
    <w:p w:rsidR="00965647" w:rsidRDefault="00965647">
      <w:pPr>
        <w:pStyle w:val="Textonotapie"/>
      </w:pPr>
      <w:r>
        <w:rPr>
          <w:rStyle w:val="Refdenotaalpie"/>
        </w:rPr>
        <w:footnoteRef/>
      </w:r>
      <w:r>
        <w:t xml:space="preserve"> Consultable en: </w:t>
      </w:r>
      <w:hyperlink r:id="rId1" w:history="1">
        <w:r w:rsidR="00FB2F71" w:rsidRPr="006A4718">
          <w:rPr>
            <w:rStyle w:val="Hipervnculo"/>
          </w:rPr>
          <w:t>http://legislacion.edomex.gob.mx/sites/legislacion.edomex.gob.mx/files/files/pdf/gct/2016/jun174.pdf</w:t>
        </w:r>
      </w:hyperlink>
      <w:r w:rsidR="00FB2F71">
        <w:t xml:space="preserve"> </w:t>
      </w:r>
    </w:p>
  </w:footnote>
  <w:footnote w:id="3">
    <w:p w:rsidR="00692029" w:rsidRDefault="00692029">
      <w:pPr>
        <w:pStyle w:val="Textonotapie"/>
      </w:pPr>
      <w:r>
        <w:rPr>
          <w:rStyle w:val="Refdenotaalpie"/>
        </w:rPr>
        <w:footnoteRef/>
      </w:r>
      <w:r>
        <w:t xml:space="preserve"> Consultable en: </w:t>
      </w:r>
      <w:hyperlink r:id="rId2" w:history="1">
        <w:r w:rsidRPr="006A4718">
          <w:rPr>
            <w:rStyle w:val="Hipervnculo"/>
          </w:rPr>
          <w:t>http://legislacion.edomex.gob.mx/sites/legislacion.edomex.gob.mx/files/files/pdf/gct/2018/may033.pdf</w:t>
        </w:r>
      </w:hyperlink>
      <w:r>
        <w:t xml:space="preserve"> </w:t>
      </w:r>
    </w:p>
  </w:footnote>
  <w:footnote w:id="4">
    <w:p w:rsidR="003707A7" w:rsidRDefault="003707A7">
      <w:pPr>
        <w:pStyle w:val="Textonotapie"/>
      </w:pPr>
      <w:r>
        <w:rPr>
          <w:rStyle w:val="Refdenotaalpie"/>
        </w:rPr>
        <w:footnoteRef/>
      </w:r>
      <w:r>
        <w:t xml:space="preserve"> Consultable en: </w:t>
      </w:r>
      <w:r w:rsidRPr="00BD3E90">
        <w:t>http://www.dof.gob.mx/nota_detalle.php?codigo=5436056&amp;fecha=04/05/2016</w:t>
      </w:r>
    </w:p>
  </w:footnote>
  <w:footnote w:id="5">
    <w:p w:rsidR="007E2E81" w:rsidRDefault="007E2E81" w:rsidP="007E2E81">
      <w:pPr>
        <w:pStyle w:val="Textonotapie"/>
        <w:jc w:val="both"/>
      </w:pPr>
      <w:r>
        <w:rPr>
          <w:rStyle w:val="Refdenotaalpie"/>
        </w:rPr>
        <w:footnoteRef/>
      </w:r>
      <w:r>
        <w:t xml:space="preserve"> </w:t>
      </w:r>
      <w:r w:rsidRPr="007E2E81">
        <w:t>“SUPLENCIA DE LA QUEJA DEFICIENTE. SU PROCEDENCIA EN OTRAS MATERIAS, AUN A FALTA DE CONCEPTO DE VIOLACIÓN O AGRAVIO, CUANDO SE ADVIERTA VIOLACIÓN GRAVE Y MANIFIESTA DE LA LEY. La regulación establecida en el artículo 79, fracción VI, de la Ley de Amparo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107, fracción II, antepenúltimo párrafo, de la Constitución Política de los Estados Unidos Mexicanos.”</w:t>
      </w:r>
    </w:p>
  </w:footnote>
  <w:footnote w:id="6">
    <w:p w:rsidR="0008096C" w:rsidRDefault="0008096C">
      <w:pPr>
        <w:pStyle w:val="Textonotapie"/>
      </w:pPr>
      <w:r>
        <w:rPr>
          <w:rStyle w:val="Refdenotaalpie"/>
        </w:rPr>
        <w:footnoteRef/>
      </w:r>
      <w:r>
        <w:t xml:space="preserve"> Consultable en </w:t>
      </w:r>
      <w:hyperlink r:id="rId3" w:history="1">
        <w:r w:rsidRPr="006A4718">
          <w:rPr>
            <w:rStyle w:val="Hipervnculo"/>
          </w:rPr>
          <w:t>http://fgjem.edomex.gob.mx/sites/fgjem.edomex.gob.mx/files/files/Acercade/AgenciaMinisterioPublico/SUBPROCURADURI%CC%81A%20NEZAHUALCO%CC%81YOTL.pdf</w:t>
        </w:r>
      </w:hyperlink>
      <w:r>
        <w:t xml:space="preserve"> </w:t>
      </w:r>
    </w:p>
  </w:footnote>
  <w:footnote w:id="7">
    <w:p w:rsidR="00287AF2" w:rsidRDefault="00287AF2" w:rsidP="00287AF2">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sz w:val="16"/>
          <w:szCs w:val="16"/>
        </w:rPr>
        <w:t xml:space="preserve"> El criterio fue expedido por el entonces Instituto Federal de Acceso a la Información y Protección de Datos Personales (IFAI), el cual cambio su denominación a Instituto Nacional de Acceso a la Información y Protección de Datos Personales (INAI) a partir de la publicación de la Ley General de Transparencia Acceso a la Información Pública en el Diario Oficial de la Federación el 04 de mayo de 2015.</w:t>
      </w:r>
    </w:p>
  </w:footnote>
  <w:footnote w:id="8">
    <w:p w:rsidR="003707A7" w:rsidRPr="00034B44" w:rsidRDefault="003707A7" w:rsidP="00EF191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rsidR="003707A7" w:rsidRPr="00034B44" w:rsidRDefault="003707A7" w:rsidP="00EF1914">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9">
    <w:p w:rsidR="003707A7" w:rsidRPr="00034B44" w:rsidRDefault="003707A7" w:rsidP="00EF191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rsidR="003707A7" w:rsidRPr="00034B44" w:rsidRDefault="003707A7" w:rsidP="00EF191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707A7" w:rsidRPr="00034B44" w:rsidRDefault="003707A7" w:rsidP="00EF191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707A7" w:rsidRPr="00034B44" w:rsidRDefault="003707A7" w:rsidP="00EF191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1">
    <w:p w:rsidR="003707A7" w:rsidRPr="00034B44" w:rsidRDefault="003707A7" w:rsidP="00EF191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2">
    <w:p w:rsidR="003707A7" w:rsidRPr="00034B44" w:rsidRDefault="003707A7" w:rsidP="00EF1914">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3707A7" w:rsidRPr="00034B44" w:rsidRDefault="003707A7" w:rsidP="00EF1914">
      <w:pPr>
        <w:pStyle w:val="Textonotapie"/>
        <w:jc w:val="both"/>
        <w:rPr>
          <w:rFonts w:ascii="Palatino Linotype" w:hAnsi="Palatino Linotype"/>
          <w:sz w:val="18"/>
        </w:rPr>
      </w:pPr>
      <w:r w:rsidRPr="00034B44">
        <w:rPr>
          <w:rFonts w:ascii="Palatino Linotype" w:hAnsi="Palatino Linotype"/>
          <w:sz w:val="18"/>
        </w:rPr>
        <w:t xml:space="preserve"> (…)</w:t>
      </w:r>
    </w:p>
    <w:p w:rsidR="003707A7" w:rsidRPr="00034B44" w:rsidRDefault="003707A7" w:rsidP="00EF1914">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7A7" w:rsidRDefault="003707A7">
    <w:pPr>
      <w:pStyle w:val="Encabezado"/>
    </w:pPr>
  </w:p>
  <w:p w:rsidR="003707A7" w:rsidRDefault="003707A7" w:rsidP="009A4582">
    <w:pPr>
      <w:pStyle w:val="Encabezado"/>
      <w:tabs>
        <w:tab w:val="clear" w:pos="4419"/>
        <w:tab w:val="clear" w:pos="8838"/>
        <w:tab w:val="left" w:pos="7283"/>
      </w:tabs>
    </w:pPr>
    <w:r>
      <w:tab/>
    </w:r>
  </w:p>
  <w:tbl>
    <w:tblPr>
      <w:tblStyle w:val="Tablaconcuadrcula"/>
      <w:tblW w:w="666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111"/>
    </w:tblGrid>
    <w:tr w:rsidR="003707A7" w:rsidRPr="00F366A0" w:rsidTr="00B42DCF">
      <w:trPr>
        <w:trHeight w:val="138"/>
        <w:jc w:val="right"/>
      </w:trPr>
      <w:tc>
        <w:tcPr>
          <w:tcW w:w="2552" w:type="dxa"/>
          <w:vAlign w:val="center"/>
        </w:tcPr>
        <w:p w:rsidR="003707A7" w:rsidRPr="00F366A0" w:rsidRDefault="003707A7" w:rsidP="009A4582">
          <w:pPr>
            <w:rPr>
              <w:rFonts w:ascii="Palatino Linotype" w:hAnsi="Palatino Linotype"/>
              <w:b/>
              <w:sz w:val="22"/>
              <w:szCs w:val="22"/>
            </w:rPr>
          </w:pPr>
          <w:r w:rsidRPr="00F366A0">
            <w:rPr>
              <w:rFonts w:ascii="Palatino Linotype" w:hAnsi="Palatino Linotype"/>
              <w:b/>
              <w:sz w:val="22"/>
              <w:szCs w:val="22"/>
            </w:rPr>
            <w:t>Recurso de revisión:</w:t>
          </w:r>
        </w:p>
      </w:tc>
      <w:tc>
        <w:tcPr>
          <w:tcW w:w="4111" w:type="dxa"/>
          <w:vAlign w:val="center"/>
        </w:tcPr>
        <w:p w:rsidR="003707A7" w:rsidRPr="00F366A0" w:rsidRDefault="003707A7" w:rsidP="00F331CE">
          <w:pPr>
            <w:pStyle w:val="Encabezado"/>
            <w:jc w:val="right"/>
            <w:rPr>
              <w:rFonts w:ascii="Palatino Linotype" w:hAnsi="Palatino Linotype"/>
              <w:b/>
              <w:sz w:val="22"/>
              <w:szCs w:val="22"/>
            </w:rPr>
          </w:pPr>
          <w:r>
            <w:rPr>
              <w:rFonts w:ascii="Palatino Linotype" w:hAnsi="Palatino Linotype" w:cs="Arial"/>
              <w:b/>
              <w:bCs/>
              <w:sz w:val="22"/>
              <w:szCs w:val="22"/>
              <w:lang w:eastAsia="es-MX"/>
            </w:rPr>
            <w:t>02398</w:t>
          </w:r>
          <w:r w:rsidRPr="00F366A0">
            <w:rPr>
              <w:rFonts w:ascii="Palatino Linotype" w:hAnsi="Palatino Linotype" w:cs="Arial"/>
              <w:b/>
              <w:bCs/>
              <w:sz w:val="22"/>
              <w:szCs w:val="22"/>
              <w:lang w:eastAsia="es-MX"/>
            </w:rPr>
            <w:t>/INFOEM/IP/RR/2018 y</w:t>
          </w:r>
          <w:r>
            <w:rPr>
              <w:rFonts w:ascii="Palatino Linotype" w:hAnsi="Palatino Linotype" w:cs="Arial"/>
              <w:b/>
              <w:bCs/>
              <w:sz w:val="22"/>
              <w:szCs w:val="22"/>
              <w:lang w:eastAsia="es-MX"/>
            </w:rPr>
            <w:t xml:space="preserve"> su  acumulado</w:t>
          </w:r>
        </w:p>
      </w:tc>
    </w:tr>
    <w:tr w:rsidR="003707A7" w:rsidRPr="00F366A0" w:rsidTr="00B42DCF">
      <w:trPr>
        <w:trHeight w:val="321"/>
        <w:jc w:val="right"/>
      </w:trPr>
      <w:tc>
        <w:tcPr>
          <w:tcW w:w="2552" w:type="dxa"/>
          <w:vAlign w:val="center"/>
        </w:tcPr>
        <w:p w:rsidR="003707A7" w:rsidRPr="00F366A0" w:rsidRDefault="003707A7" w:rsidP="009A4582">
          <w:pPr>
            <w:rPr>
              <w:rFonts w:ascii="Palatino Linotype" w:hAnsi="Palatino Linotype"/>
              <w:b/>
              <w:sz w:val="22"/>
              <w:szCs w:val="22"/>
            </w:rPr>
          </w:pPr>
          <w:r w:rsidRPr="00F366A0">
            <w:rPr>
              <w:rFonts w:ascii="Palatino Linotype" w:hAnsi="Palatino Linotype"/>
              <w:b/>
              <w:sz w:val="22"/>
              <w:szCs w:val="22"/>
            </w:rPr>
            <w:t>Sujeto obligado:</w:t>
          </w:r>
        </w:p>
      </w:tc>
      <w:tc>
        <w:tcPr>
          <w:tcW w:w="4111" w:type="dxa"/>
          <w:vAlign w:val="center"/>
        </w:tcPr>
        <w:p w:rsidR="003707A7" w:rsidRPr="00F366A0" w:rsidRDefault="003707A7" w:rsidP="009A4582">
          <w:pPr>
            <w:pStyle w:val="Encabezado"/>
            <w:jc w:val="right"/>
            <w:rPr>
              <w:rFonts w:ascii="Palatino Linotype" w:hAnsi="Palatino Linotype"/>
              <w:b/>
              <w:sz w:val="22"/>
              <w:szCs w:val="22"/>
            </w:rPr>
          </w:pPr>
          <w:r w:rsidRPr="00C43D39">
            <w:rPr>
              <w:rFonts w:ascii="Palatino Linotype" w:hAnsi="Palatino Linotype"/>
              <w:b/>
              <w:sz w:val="22"/>
              <w:szCs w:val="22"/>
            </w:rPr>
            <w:t>Fiscalía General de Justicia del Estado de México</w:t>
          </w:r>
        </w:p>
      </w:tc>
    </w:tr>
    <w:tr w:rsidR="003707A7" w:rsidRPr="00F366A0" w:rsidTr="00B42DCF">
      <w:trPr>
        <w:trHeight w:val="321"/>
        <w:jc w:val="right"/>
      </w:trPr>
      <w:tc>
        <w:tcPr>
          <w:tcW w:w="2552" w:type="dxa"/>
          <w:vAlign w:val="center"/>
        </w:tcPr>
        <w:p w:rsidR="003707A7" w:rsidRPr="00F366A0" w:rsidRDefault="003707A7" w:rsidP="009A4582">
          <w:pPr>
            <w:rPr>
              <w:rFonts w:ascii="Palatino Linotype" w:hAnsi="Palatino Linotype"/>
              <w:b/>
              <w:sz w:val="22"/>
              <w:szCs w:val="22"/>
            </w:rPr>
          </w:pPr>
          <w:r w:rsidRPr="00F366A0">
            <w:rPr>
              <w:rFonts w:ascii="Palatino Linotype" w:hAnsi="Palatino Linotype"/>
              <w:b/>
              <w:sz w:val="22"/>
              <w:szCs w:val="22"/>
            </w:rPr>
            <w:t>Comisionado ponente:</w:t>
          </w:r>
        </w:p>
      </w:tc>
      <w:tc>
        <w:tcPr>
          <w:tcW w:w="4111" w:type="dxa"/>
          <w:vAlign w:val="center"/>
        </w:tcPr>
        <w:p w:rsidR="003707A7" w:rsidRPr="00F366A0" w:rsidRDefault="003707A7" w:rsidP="00771A16">
          <w:pPr>
            <w:pStyle w:val="Encabezado"/>
            <w:jc w:val="right"/>
            <w:rPr>
              <w:rFonts w:ascii="Palatino Linotype" w:hAnsi="Palatino Linotype"/>
              <w:b/>
              <w:sz w:val="22"/>
              <w:szCs w:val="22"/>
            </w:rPr>
          </w:pPr>
          <w:r w:rsidRPr="00F366A0">
            <w:rPr>
              <w:rFonts w:ascii="Palatino Linotype" w:hAnsi="Palatino Linotype"/>
              <w:b/>
              <w:sz w:val="22"/>
              <w:szCs w:val="22"/>
            </w:rPr>
            <w:t xml:space="preserve">    José Guadalupe Luna Hernández</w:t>
          </w:r>
        </w:p>
      </w:tc>
    </w:tr>
  </w:tbl>
  <w:p w:rsidR="003707A7" w:rsidRDefault="003707A7"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7A7" w:rsidRDefault="003707A7" w:rsidP="009A4582">
    <w:pPr>
      <w:pStyle w:val="Encabezado"/>
      <w:tabs>
        <w:tab w:val="left" w:pos="3103"/>
      </w:tabs>
    </w:pPr>
    <w:r>
      <w:tab/>
    </w:r>
    <w:r>
      <w:tab/>
    </w:r>
  </w:p>
  <w:tbl>
    <w:tblPr>
      <w:tblStyle w:val="Tablaconcuadrcula"/>
      <w:tblW w:w="6946" w:type="dxa"/>
      <w:tblInd w:w="22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36"/>
      <w:gridCol w:w="3875"/>
    </w:tblGrid>
    <w:tr w:rsidR="003707A7" w:rsidRPr="00182113" w:rsidTr="009A4582">
      <w:trPr>
        <w:trHeight w:val="138"/>
      </w:trPr>
      <w:tc>
        <w:tcPr>
          <w:tcW w:w="2835" w:type="dxa"/>
          <w:vAlign w:val="center"/>
        </w:tcPr>
        <w:p w:rsidR="003707A7" w:rsidRPr="00182113" w:rsidRDefault="003707A7" w:rsidP="009A4582">
          <w:pPr>
            <w:rPr>
              <w:rFonts w:ascii="Palatino Linotype" w:hAnsi="Palatino Linotype"/>
              <w:b/>
            </w:rPr>
          </w:pPr>
          <w:r w:rsidRPr="00182113">
            <w:rPr>
              <w:rFonts w:ascii="Palatino Linotype" w:hAnsi="Palatino Linotype"/>
              <w:b/>
            </w:rPr>
            <w:t>Recurso de revisión:</w:t>
          </w:r>
        </w:p>
      </w:tc>
      <w:tc>
        <w:tcPr>
          <w:tcW w:w="236" w:type="dxa"/>
          <w:vAlign w:val="center"/>
        </w:tcPr>
        <w:p w:rsidR="003707A7" w:rsidRPr="00182113" w:rsidRDefault="003707A7" w:rsidP="009A4582">
          <w:pPr>
            <w:pStyle w:val="Encabezado"/>
            <w:jc w:val="center"/>
            <w:rPr>
              <w:rFonts w:ascii="Palatino Linotype" w:hAnsi="Palatino Linotype"/>
              <w:b/>
            </w:rPr>
          </w:pPr>
        </w:p>
      </w:tc>
      <w:tc>
        <w:tcPr>
          <w:tcW w:w="3875" w:type="dxa"/>
          <w:vAlign w:val="center"/>
        </w:tcPr>
        <w:p w:rsidR="003707A7" w:rsidRPr="00182113" w:rsidRDefault="003707A7" w:rsidP="00F331CE">
          <w:pPr>
            <w:pStyle w:val="Encabezado"/>
            <w:jc w:val="right"/>
            <w:rPr>
              <w:rFonts w:ascii="Palatino Linotype" w:hAnsi="Palatino Linotype"/>
              <w:b/>
            </w:rPr>
          </w:pPr>
          <w:r>
            <w:rPr>
              <w:rFonts w:ascii="Palatino Linotype" w:hAnsi="Palatino Linotype" w:cs="Arial"/>
              <w:b/>
              <w:bCs/>
              <w:lang w:eastAsia="es-MX"/>
            </w:rPr>
            <w:t xml:space="preserve">           02398</w:t>
          </w:r>
          <w:r w:rsidRPr="00182113">
            <w:rPr>
              <w:rFonts w:ascii="Palatino Linotype" w:hAnsi="Palatino Linotype" w:cs="Arial"/>
              <w:b/>
              <w:bCs/>
              <w:lang w:eastAsia="es-MX"/>
            </w:rPr>
            <w:t>/INFOEM/IP/RR/</w:t>
          </w:r>
          <w:r>
            <w:rPr>
              <w:rFonts w:ascii="Palatino Linotype" w:hAnsi="Palatino Linotype" w:cs="Arial"/>
              <w:b/>
              <w:bCs/>
              <w:lang w:eastAsia="es-MX"/>
            </w:rPr>
            <w:t>2018 y su acumulado</w:t>
          </w:r>
        </w:p>
      </w:tc>
    </w:tr>
    <w:tr w:rsidR="003707A7" w:rsidRPr="00182113" w:rsidTr="009A4582">
      <w:trPr>
        <w:trHeight w:val="227"/>
      </w:trPr>
      <w:tc>
        <w:tcPr>
          <w:tcW w:w="2835" w:type="dxa"/>
          <w:vAlign w:val="center"/>
        </w:tcPr>
        <w:p w:rsidR="003707A7" w:rsidRPr="00182113" w:rsidRDefault="003707A7" w:rsidP="009A4582">
          <w:pPr>
            <w:rPr>
              <w:rFonts w:ascii="Palatino Linotype" w:hAnsi="Palatino Linotype"/>
              <w:b/>
            </w:rPr>
          </w:pPr>
          <w:r w:rsidRPr="00182113">
            <w:rPr>
              <w:rFonts w:ascii="Palatino Linotype" w:hAnsi="Palatino Linotype"/>
              <w:b/>
            </w:rPr>
            <w:t>Recurrente:</w:t>
          </w:r>
        </w:p>
      </w:tc>
      <w:tc>
        <w:tcPr>
          <w:tcW w:w="236" w:type="dxa"/>
          <w:vAlign w:val="center"/>
        </w:tcPr>
        <w:p w:rsidR="003707A7" w:rsidRPr="00182113" w:rsidRDefault="003707A7" w:rsidP="009A4582">
          <w:pPr>
            <w:pStyle w:val="Encabezado"/>
            <w:jc w:val="center"/>
            <w:rPr>
              <w:rFonts w:ascii="Palatino Linotype" w:hAnsi="Palatino Linotype"/>
              <w:b/>
            </w:rPr>
          </w:pPr>
        </w:p>
      </w:tc>
      <w:tc>
        <w:tcPr>
          <w:tcW w:w="3875" w:type="dxa"/>
          <w:vAlign w:val="center"/>
        </w:tcPr>
        <w:p w:rsidR="003707A7" w:rsidRPr="00182113" w:rsidRDefault="00667FDC" w:rsidP="00CA5F98">
          <w:pPr>
            <w:pStyle w:val="Encabezado"/>
            <w:jc w:val="right"/>
            <w:rPr>
              <w:rFonts w:ascii="Palatino Linotype" w:hAnsi="Palatino Linotype"/>
              <w:b/>
            </w:rPr>
          </w:pPr>
          <w:r w:rsidRPr="00667FDC">
            <w:rPr>
              <w:rFonts w:ascii="Palatino Linotype" w:hAnsi="Palatino Linotype"/>
              <w:b/>
              <w:highlight w:val="black"/>
            </w:rPr>
            <w:t>----------------------------</w:t>
          </w:r>
        </w:p>
      </w:tc>
    </w:tr>
    <w:tr w:rsidR="003707A7" w:rsidRPr="00182113" w:rsidTr="009A4582">
      <w:trPr>
        <w:trHeight w:val="232"/>
      </w:trPr>
      <w:tc>
        <w:tcPr>
          <w:tcW w:w="2835" w:type="dxa"/>
          <w:vAlign w:val="center"/>
        </w:tcPr>
        <w:p w:rsidR="003707A7" w:rsidRPr="00182113" w:rsidRDefault="003707A7" w:rsidP="009A4582">
          <w:pPr>
            <w:rPr>
              <w:rFonts w:ascii="Palatino Linotype" w:hAnsi="Palatino Linotype"/>
              <w:b/>
            </w:rPr>
          </w:pPr>
          <w:r w:rsidRPr="00182113">
            <w:rPr>
              <w:rFonts w:ascii="Palatino Linotype" w:hAnsi="Palatino Linotype"/>
              <w:b/>
            </w:rPr>
            <w:t>Sujeto obligado:</w:t>
          </w:r>
        </w:p>
      </w:tc>
      <w:tc>
        <w:tcPr>
          <w:tcW w:w="236" w:type="dxa"/>
          <w:vAlign w:val="center"/>
        </w:tcPr>
        <w:p w:rsidR="003707A7" w:rsidRPr="00182113" w:rsidRDefault="003707A7" w:rsidP="009A4582">
          <w:pPr>
            <w:pStyle w:val="Encabezado"/>
            <w:jc w:val="center"/>
            <w:rPr>
              <w:rFonts w:ascii="Palatino Linotype" w:hAnsi="Palatino Linotype"/>
              <w:b/>
            </w:rPr>
          </w:pPr>
        </w:p>
      </w:tc>
      <w:tc>
        <w:tcPr>
          <w:tcW w:w="3875" w:type="dxa"/>
          <w:vAlign w:val="center"/>
        </w:tcPr>
        <w:p w:rsidR="003707A7" w:rsidRPr="00767A0C" w:rsidRDefault="003707A7" w:rsidP="00767A0C">
          <w:pPr>
            <w:pStyle w:val="Encabezado"/>
            <w:ind w:left="-485"/>
            <w:jc w:val="right"/>
            <w:rPr>
              <w:rFonts w:ascii="Palatino Linotype" w:hAnsi="Palatino Linotype"/>
              <w:b/>
            </w:rPr>
          </w:pPr>
          <w:r w:rsidRPr="00C43D39">
            <w:rPr>
              <w:rFonts w:ascii="Palatino Linotype" w:hAnsi="Palatino Linotype"/>
              <w:b/>
            </w:rPr>
            <w:t>Fiscalía General de Justicia del Estado de México</w:t>
          </w:r>
        </w:p>
      </w:tc>
    </w:tr>
    <w:tr w:rsidR="003707A7" w:rsidRPr="00182113" w:rsidTr="009A4582">
      <w:trPr>
        <w:trHeight w:val="320"/>
      </w:trPr>
      <w:tc>
        <w:tcPr>
          <w:tcW w:w="2835" w:type="dxa"/>
          <w:vAlign w:val="center"/>
        </w:tcPr>
        <w:p w:rsidR="003707A7" w:rsidRPr="00182113" w:rsidRDefault="003707A7" w:rsidP="009A4582">
          <w:pPr>
            <w:rPr>
              <w:rFonts w:ascii="Palatino Linotype" w:hAnsi="Palatino Linotype"/>
              <w:b/>
            </w:rPr>
          </w:pPr>
          <w:r w:rsidRPr="00182113">
            <w:rPr>
              <w:rFonts w:ascii="Palatino Linotype" w:hAnsi="Palatino Linotype"/>
              <w:b/>
            </w:rPr>
            <w:t>Comisionado ponente:</w:t>
          </w:r>
        </w:p>
      </w:tc>
      <w:tc>
        <w:tcPr>
          <w:tcW w:w="236" w:type="dxa"/>
          <w:vAlign w:val="center"/>
        </w:tcPr>
        <w:p w:rsidR="003707A7" w:rsidRPr="00182113" w:rsidRDefault="003707A7" w:rsidP="009A4582">
          <w:pPr>
            <w:pStyle w:val="Encabezado"/>
            <w:jc w:val="center"/>
            <w:rPr>
              <w:rFonts w:ascii="Palatino Linotype" w:hAnsi="Palatino Linotype"/>
              <w:b/>
            </w:rPr>
          </w:pPr>
        </w:p>
      </w:tc>
      <w:tc>
        <w:tcPr>
          <w:tcW w:w="3875" w:type="dxa"/>
          <w:vAlign w:val="center"/>
        </w:tcPr>
        <w:p w:rsidR="003707A7" w:rsidRPr="00767A0C" w:rsidRDefault="003707A7" w:rsidP="009A4582">
          <w:pPr>
            <w:pStyle w:val="Encabezado"/>
            <w:rPr>
              <w:rFonts w:ascii="Palatino Linotype" w:hAnsi="Palatino Linotype"/>
              <w:b/>
            </w:rPr>
          </w:pPr>
          <w:r w:rsidRPr="00767A0C">
            <w:rPr>
              <w:rFonts w:ascii="Palatino Linotype" w:hAnsi="Palatino Linotype"/>
              <w:b/>
            </w:rPr>
            <w:t>José Guadalupe Luna Hernández</w:t>
          </w:r>
        </w:p>
      </w:tc>
    </w:tr>
  </w:tbl>
  <w:p w:rsidR="003707A7" w:rsidRDefault="003707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63C2B"/>
    <w:multiLevelType w:val="hybridMultilevel"/>
    <w:tmpl w:val="464AE392"/>
    <w:lvl w:ilvl="0" w:tplc="D5D4E876">
      <w:start w:val="1"/>
      <w:numFmt w:val="decimal"/>
      <w:lvlText w:val="%1."/>
      <w:lvlJc w:val="left"/>
      <w:pPr>
        <w:ind w:left="720" w:hanging="360"/>
      </w:pPr>
      <w:rPr>
        <w:rFonts w:eastAsia="Times New Roman"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6C63B0"/>
    <w:multiLevelType w:val="hybridMultilevel"/>
    <w:tmpl w:val="8384EBEE"/>
    <w:lvl w:ilvl="0" w:tplc="080A0001">
      <w:start w:val="1"/>
      <w:numFmt w:val="bullet"/>
      <w:lvlText w:val=""/>
      <w:lvlJc w:val="left"/>
      <w:pPr>
        <w:ind w:left="1222" w:hanging="360"/>
      </w:pPr>
      <w:rPr>
        <w:rFonts w:ascii="Symbol" w:hAnsi="Symbol"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2">
    <w:nsid w:val="239E19F6"/>
    <w:multiLevelType w:val="hybridMultilevel"/>
    <w:tmpl w:val="F392D2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61F6FD4"/>
    <w:multiLevelType w:val="hybridMultilevel"/>
    <w:tmpl w:val="EB4EC804"/>
    <w:lvl w:ilvl="0" w:tplc="080A0011">
      <w:start w:val="1"/>
      <w:numFmt w:val="decimal"/>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0"/>
  </w:num>
  <w:num w:numId="5">
    <w:abstractNumId w:val="1"/>
  </w:num>
  <w:num w:numId="6">
    <w:abstractNumId w:val="4"/>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657F"/>
    <w:rsid w:val="000066C6"/>
    <w:rsid w:val="000201D1"/>
    <w:rsid w:val="000300D2"/>
    <w:rsid w:val="0003181B"/>
    <w:rsid w:val="0003512E"/>
    <w:rsid w:val="000351F4"/>
    <w:rsid w:val="00041BE5"/>
    <w:rsid w:val="00042043"/>
    <w:rsid w:val="00045707"/>
    <w:rsid w:val="00053D8A"/>
    <w:rsid w:val="00060734"/>
    <w:rsid w:val="0006439E"/>
    <w:rsid w:val="0007427D"/>
    <w:rsid w:val="0008096C"/>
    <w:rsid w:val="00081C72"/>
    <w:rsid w:val="00087281"/>
    <w:rsid w:val="000A3034"/>
    <w:rsid w:val="000A30C4"/>
    <w:rsid w:val="000A5B01"/>
    <w:rsid w:val="000B2EAF"/>
    <w:rsid w:val="000C1475"/>
    <w:rsid w:val="000C546D"/>
    <w:rsid w:val="000C5FF7"/>
    <w:rsid w:val="000D10FE"/>
    <w:rsid w:val="000D184D"/>
    <w:rsid w:val="000D2156"/>
    <w:rsid w:val="000D49F0"/>
    <w:rsid w:val="000D580D"/>
    <w:rsid w:val="000D6109"/>
    <w:rsid w:val="000F0A23"/>
    <w:rsid w:val="000F1B7B"/>
    <w:rsid w:val="000F2784"/>
    <w:rsid w:val="00100D36"/>
    <w:rsid w:val="00110A90"/>
    <w:rsid w:val="00115B9B"/>
    <w:rsid w:val="00117E90"/>
    <w:rsid w:val="00120063"/>
    <w:rsid w:val="001237E0"/>
    <w:rsid w:val="00133151"/>
    <w:rsid w:val="00135E5B"/>
    <w:rsid w:val="0014374D"/>
    <w:rsid w:val="00152A54"/>
    <w:rsid w:val="00185AB8"/>
    <w:rsid w:val="001939D9"/>
    <w:rsid w:val="0019604C"/>
    <w:rsid w:val="001A1E07"/>
    <w:rsid w:val="001B7DD6"/>
    <w:rsid w:val="001C63C3"/>
    <w:rsid w:val="001D22B5"/>
    <w:rsid w:val="001D5E13"/>
    <w:rsid w:val="001F332E"/>
    <w:rsid w:val="001F46ED"/>
    <w:rsid w:val="001F547B"/>
    <w:rsid w:val="002014BA"/>
    <w:rsid w:val="002017B2"/>
    <w:rsid w:val="00202E6A"/>
    <w:rsid w:val="00203D33"/>
    <w:rsid w:val="00211B1B"/>
    <w:rsid w:val="00221611"/>
    <w:rsid w:val="00234EBF"/>
    <w:rsid w:val="0024195C"/>
    <w:rsid w:val="0024367F"/>
    <w:rsid w:val="0025128D"/>
    <w:rsid w:val="002547E3"/>
    <w:rsid w:val="002718DA"/>
    <w:rsid w:val="00287AF2"/>
    <w:rsid w:val="002901A2"/>
    <w:rsid w:val="00290E2D"/>
    <w:rsid w:val="00293529"/>
    <w:rsid w:val="002A013E"/>
    <w:rsid w:val="002A16FE"/>
    <w:rsid w:val="002A342F"/>
    <w:rsid w:val="002A4240"/>
    <w:rsid w:val="002B26E3"/>
    <w:rsid w:val="002B3003"/>
    <w:rsid w:val="002B64FF"/>
    <w:rsid w:val="002C33BC"/>
    <w:rsid w:val="002C6831"/>
    <w:rsid w:val="002D56BF"/>
    <w:rsid w:val="002E3668"/>
    <w:rsid w:val="002E3B25"/>
    <w:rsid w:val="002F5856"/>
    <w:rsid w:val="00314F26"/>
    <w:rsid w:val="00315BF5"/>
    <w:rsid w:val="00317BDF"/>
    <w:rsid w:val="00323CFF"/>
    <w:rsid w:val="0033482A"/>
    <w:rsid w:val="00340D60"/>
    <w:rsid w:val="00342B7D"/>
    <w:rsid w:val="0035552D"/>
    <w:rsid w:val="00367C7A"/>
    <w:rsid w:val="003707A7"/>
    <w:rsid w:val="00371EC3"/>
    <w:rsid w:val="00382E32"/>
    <w:rsid w:val="003B4437"/>
    <w:rsid w:val="003B69DE"/>
    <w:rsid w:val="003C5C10"/>
    <w:rsid w:val="003E0C08"/>
    <w:rsid w:val="003E1237"/>
    <w:rsid w:val="003F20CF"/>
    <w:rsid w:val="003F5243"/>
    <w:rsid w:val="003F6A91"/>
    <w:rsid w:val="00401B46"/>
    <w:rsid w:val="00404C40"/>
    <w:rsid w:val="00404F0A"/>
    <w:rsid w:val="00405066"/>
    <w:rsid w:val="0042290F"/>
    <w:rsid w:val="004367BE"/>
    <w:rsid w:val="00442518"/>
    <w:rsid w:val="00442EB9"/>
    <w:rsid w:val="004535BF"/>
    <w:rsid w:val="00477827"/>
    <w:rsid w:val="0048313E"/>
    <w:rsid w:val="004835DC"/>
    <w:rsid w:val="00485F43"/>
    <w:rsid w:val="00490FB6"/>
    <w:rsid w:val="00497988"/>
    <w:rsid w:val="004A0C7E"/>
    <w:rsid w:val="004A148D"/>
    <w:rsid w:val="004A6525"/>
    <w:rsid w:val="004C07B7"/>
    <w:rsid w:val="004C1C0D"/>
    <w:rsid w:val="004E1423"/>
    <w:rsid w:val="00500259"/>
    <w:rsid w:val="00505CB5"/>
    <w:rsid w:val="0051084F"/>
    <w:rsid w:val="0051298E"/>
    <w:rsid w:val="005137E2"/>
    <w:rsid w:val="005325A3"/>
    <w:rsid w:val="00533048"/>
    <w:rsid w:val="00536841"/>
    <w:rsid w:val="00537453"/>
    <w:rsid w:val="00541204"/>
    <w:rsid w:val="00550E0A"/>
    <w:rsid w:val="005513C0"/>
    <w:rsid w:val="0056471D"/>
    <w:rsid w:val="005711E5"/>
    <w:rsid w:val="00573DB8"/>
    <w:rsid w:val="00575901"/>
    <w:rsid w:val="00592F9D"/>
    <w:rsid w:val="005936AE"/>
    <w:rsid w:val="00595020"/>
    <w:rsid w:val="00597DC8"/>
    <w:rsid w:val="005A3C0D"/>
    <w:rsid w:val="005A56E1"/>
    <w:rsid w:val="005A72FC"/>
    <w:rsid w:val="005C1CA9"/>
    <w:rsid w:val="005C4663"/>
    <w:rsid w:val="005D3C6B"/>
    <w:rsid w:val="005D4529"/>
    <w:rsid w:val="005D6940"/>
    <w:rsid w:val="005E6787"/>
    <w:rsid w:val="005E73B2"/>
    <w:rsid w:val="00601100"/>
    <w:rsid w:val="006069CC"/>
    <w:rsid w:val="0061037B"/>
    <w:rsid w:val="00610D55"/>
    <w:rsid w:val="00612344"/>
    <w:rsid w:val="0061521A"/>
    <w:rsid w:val="006303C0"/>
    <w:rsid w:val="006410B5"/>
    <w:rsid w:val="00641EEC"/>
    <w:rsid w:val="00645B6B"/>
    <w:rsid w:val="0066082E"/>
    <w:rsid w:val="00660EBC"/>
    <w:rsid w:val="00664439"/>
    <w:rsid w:val="00665BB2"/>
    <w:rsid w:val="00667092"/>
    <w:rsid w:val="00667FDC"/>
    <w:rsid w:val="00670665"/>
    <w:rsid w:val="0067197F"/>
    <w:rsid w:val="00676BD7"/>
    <w:rsid w:val="006828A9"/>
    <w:rsid w:val="00683056"/>
    <w:rsid w:val="00692029"/>
    <w:rsid w:val="006922EB"/>
    <w:rsid w:val="00694CC8"/>
    <w:rsid w:val="006A1DD3"/>
    <w:rsid w:val="006A3A81"/>
    <w:rsid w:val="006B51CB"/>
    <w:rsid w:val="006B7ED2"/>
    <w:rsid w:val="006C1FE8"/>
    <w:rsid w:val="006C3F36"/>
    <w:rsid w:val="006C4663"/>
    <w:rsid w:val="006D4582"/>
    <w:rsid w:val="006D68F7"/>
    <w:rsid w:val="006D7DEC"/>
    <w:rsid w:val="006F025F"/>
    <w:rsid w:val="006F22EC"/>
    <w:rsid w:val="006F4E43"/>
    <w:rsid w:val="00702C2E"/>
    <w:rsid w:val="00704FC1"/>
    <w:rsid w:val="007061DA"/>
    <w:rsid w:val="00714093"/>
    <w:rsid w:val="00722FCE"/>
    <w:rsid w:val="007230A3"/>
    <w:rsid w:val="007238F4"/>
    <w:rsid w:val="00726927"/>
    <w:rsid w:val="007279DF"/>
    <w:rsid w:val="00732B50"/>
    <w:rsid w:val="007342BD"/>
    <w:rsid w:val="007524F4"/>
    <w:rsid w:val="007530ED"/>
    <w:rsid w:val="007538DD"/>
    <w:rsid w:val="00755747"/>
    <w:rsid w:val="00756441"/>
    <w:rsid w:val="00765A46"/>
    <w:rsid w:val="00767A0C"/>
    <w:rsid w:val="00767D06"/>
    <w:rsid w:val="00771A16"/>
    <w:rsid w:val="00771FAA"/>
    <w:rsid w:val="00792776"/>
    <w:rsid w:val="0079393C"/>
    <w:rsid w:val="007957FE"/>
    <w:rsid w:val="007A6DA1"/>
    <w:rsid w:val="007B5FFC"/>
    <w:rsid w:val="007C1862"/>
    <w:rsid w:val="007C4DD9"/>
    <w:rsid w:val="007E2E81"/>
    <w:rsid w:val="007E2F82"/>
    <w:rsid w:val="007E771B"/>
    <w:rsid w:val="007F55BF"/>
    <w:rsid w:val="007F5DAA"/>
    <w:rsid w:val="007F79C1"/>
    <w:rsid w:val="008001CF"/>
    <w:rsid w:val="00800F3A"/>
    <w:rsid w:val="00801C53"/>
    <w:rsid w:val="008109FC"/>
    <w:rsid w:val="008135A0"/>
    <w:rsid w:val="00821D17"/>
    <w:rsid w:val="00825161"/>
    <w:rsid w:val="00827DC9"/>
    <w:rsid w:val="0085685B"/>
    <w:rsid w:val="00860221"/>
    <w:rsid w:val="00877838"/>
    <w:rsid w:val="00880698"/>
    <w:rsid w:val="00891A75"/>
    <w:rsid w:val="00893D60"/>
    <w:rsid w:val="008B00F7"/>
    <w:rsid w:val="008C18E6"/>
    <w:rsid w:val="008C29BB"/>
    <w:rsid w:val="008D389B"/>
    <w:rsid w:val="008D5EFE"/>
    <w:rsid w:val="008E0826"/>
    <w:rsid w:val="008E5277"/>
    <w:rsid w:val="008F0F6D"/>
    <w:rsid w:val="008F2198"/>
    <w:rsid w:val="008F4386"/>
    <w:rsid w:val="009013BD"/>
    <w:rsid w:val="00901A35"/>
    <w:rsid w:val="0091782B"/>
    <w:rsid w:val="00925CE5"/>
    <w:rsid w:val="0093455D"/>
    <w:rsid w:val="00943C74"/>
    <w:rsid w:val="00946446"/>
    <w:rsid w:val="00957BF4"/>
    <w:rsid w:val="00965647"/>
    <w:rsid w:val="00971B4B"/>
    <w:rsid w:val="009732D2"/>
    <w:rsid w:val="009738DC"/>
    <w:rsid w:val="0098333B"/>
    <w:rsid w:val="0099464D"/>
    <w:rsid w:val="00995915"/>
    <w:rsid w:val="00996047"/>
    <w:rsid w:val="009A3001"/>
    <w:rsid w:val="009A3023"/>
    <w:rsid w:val="009A4582"/>
    <w:rsid w:val="009B1E45"/>
    <w:rsid w:val="009B5E5D"/>
    <w:rsid w:val="009B7F08"/>
    <w:rsid w:val="009C291C"/>
    <w:rsid w:val="009C4AC9"/>
    <w:rsid w:val="009C4B9B"/>
    <w:rsid w:val="009D4E1B"/>
    <w:rsid w:val="009E149A"/>
    <w:rsid w:val="009E35B9"/>
    <w:rsid w:val="009E4233"/>
    <w:rsid w:val="009E4729"/>
    <w:rsid w:val="009E54E6"/>
    <w:rsid w:val="009E6F3D"/>
    <w:rsid w:val="009F4560"/>
    <w:rsid w:val="00A01AE6"/>
    <w:rsid w:val="00A061B0"/>
    <w:rsid w:val="00A114A5"/>
    <w:rsid w:val="00A11ECB"/>
    <w:rsid w:val="00A124C2"/>
    <w:rsid w:val="00A456C6"/>
    <w:rsid w:val="00A54D9E"/>
    <w:rsid w:val="00A7208A"/>
    <w:rsid w:val="00A7508F"/>
    <w:rsid w:val="00A7549E"/>
    <w:rsid w:val="00A82419"/>
    <w:rsid w:val="00A84F2E"/>
    <w:rsid w:val="00A87D82"/>
    <w:rsid w:val="00A90BC0"/>
    <w:rsid w:val="00A94EF2"/>
    <w:rsid w:val="00AA0394"/>
    <w:rsid w:val="00AA2897"/>
    <w:rsid w:val="00AB3102"/>
    <w:rsid w:val="00AB7895"/>
    <w:rsid w:val="00AD3AC0"/>
    <w:rsid w:val="00AD710D"/>
    <w:rsid w:val="00AE2C2E"/>
    <w:rsid w:val="00AE58B4"/>
    <w:rsid w:val="00B03F79"/>
    <w:rsid w:val="00B07830"/>
    <w:rsid w:val="00B1196D"/>
    <w:rsid w:val="00B17791"/>
    <w:rsid w:val="00B228EF"/>
    <w:rsid w:val="00B25C0E"/>
    <w:rsid w:val="00B26603"/>
    <w:rsid w:val="00B2761A"/>
    <w:rsid w:val="00B42DCF"/>
    <w:rsid w:val="00B42E9E"/>
    <w:rsid w:val="00B45E07"/>
    <w:rsid w:val="00B51856"/>
    <w:rsid w:val="00B520AE"/>
    <w:rsid w:val="00B52CBB"/>
    <w:rsid w:val="00B63271"/>
    <w:rsid w:val="00B74A03"/>
    <w:rsid w:val="00B86B2A"/>
    <w:rsid w:val="00BA1B55"/>
    <w:rsid w:val="00BA3D39"/>
    <w:rsid w:val="00BA53EA"/>
    <w:rsid w:val="00BA5C4B"/>
    <w:rsid w:val="00BB18DD"/>
    <w:rsid w:val="00BB6B64"/>
    <w:rsid w:val="00BC230C"/>
    <w:rsid w:val="00BD3641"/>
    <w:rsid w:val="00BD3E90"/>
    <w:rsid w:val="00BD3F18"/>
    <w:rsid w:val="00BF0283"/>
    <w:rsid w:val="00BF05B0"/>
    <w:rsid w:val="00C045AC"/>
    <w:rsid w:val="00C103B7"/>
    <w:rsid w:val="00C130C0"/>
    <w:rsid w:val="00C26A49"/>
    <w:rsid w:val="00C43704"/>
    <w:rsid w:val="00C43D39"/>
    <w:rsid w:val="00C44E6E"/>
    <w:rsid w:val="00C5480A"/>
    <w:rsid w:val="00C64EC5"/>
    <w:rsid w:val="00C71D8F"/>
    <w:rsid w:val="00C762CC"/>
    <w:rsid w:val="00CA0E26"/>
    <w:rsid w:val="00CA10C1"/>
    <w:rsid w:val="00CA55D0"/>
    <w:rsid w:val="00CA566E"/>
    <w:rsid w:val="00CA5F98"/>
    <w:rsid w:val="00CB2474"/>
    <w:rsid w:val="00CC404F"/>
    <w:rsid w:val="00CC798E"/>
    <w:rsid w:val="00CE2D59"/>
    <w:rsid w:val="00CE401C"/>
    <w:rsid w:val="00CE55C8"/>
    <w:rsid w:val="00CF3718"/>
    <w:rsid w:val="00CF6B66"/>
    <w:rsid w:val="00D02200"/>
    <w:rsid w:val="00D05E78"/>
    <w:rsid w:val="00D175DF"/>
    <w:rsid w:val="00D23C7B"/>
    <w:rsid w:val="00D31823"/>
    <w:rsid w:val="00D34BD0"/>
    <w:rsid w:val="00D37B94"/>
    <w:rsid w:val="00D43C4B"/>
    <w:rsid w:val="00D52EB8"/>
    <w:rsid w:val="00D73C89"/>
    <w:rsid w:val="00D91F1D"/>
    <w:rsid w:val="00DA35D8"/>
    <w:rsid w:val="00DA3E33"/>
    <w:rsid w:val="00DA5360"/>
    <w:rsid w:val="00DB31E1"/>
    <w:rsid w:val="00DC4300"/>
    <w:rsid w:val="00DC5170"/>
    <w:rsid w:val="00DC658A"/>
    <w:rsid w:val="00DE6AF4"/>
    <w:rsid w:val="00DF1C4F"/>
    <w:rsid w:val="00DF36A8"/>
    <w:rsid w:val="00DF6F7F"/>
    <w:rsid w:val="00E01EA1"/>
    <w:rsid w:val="00E126CC"/>
    <w:rsid w:val="00E12C64"/>
    <w:rsid w:val="00E15008"/>
    <w:rsid w:val="00E21D19"/>
    <w:rsid w:val="00E22CC0"/>
    <w:rsid w:val="00E2602C"/>
    <w:rsid w:val="00E32768"/>
    <w:rsid w:val="00E3549D"/>
    <w:rsid w:val="00E36C96"/>
    <w:rsid w:val="00E5118B"/>
    <w:rsid w:val="00E556DF"/>
    <w:rsid w:val="00E569CC"/>
    <w:rsid w:val="00E61CCC"/>
    <w:rsid w:val="00E64F11"/>
    <w:rsid w:val="00E7332A"/>
    <w:rsid w:val="00E73494"/>
    <w:rsid w:val="00E9495B"/>
    <w:rsid w:val="00E96BF1"/>
    <w:rsid w:val="00EA16BE"/>
    <w:rsid w:val="00EA4C98"/>
    <w:rsid w:val="00EB24C0"/>
    <w:rsid w:val="00EB33AA"/>
    <w:rsid w:val="00EB3CAA"/>
    <w:rsid w:val="00EB60CD"/>
    <w:rsid w:val="00EC113F"/>
    <w:rsid w:val="00ED7733"/>
    <w:rsid w:val="00EE2FD9"/>
    <w:rsid w:val="00EF1914"/>
    <w:rsid w:val="00EF203B"/>
    <w:rsid w:val="00F03B85"/>
    <w:rsid w:val="00F04AB7"/>
    <w:rsid w:val="00F16FCA"/>
    <w:rsid w:val="00F245BA"/>
    <w:rsid w:val="00F26C18"/>
    <w:rsid w:val="00F314F4"/>
    <w:rsid w:val="00F331CE"/>
    <w:rsid w:val="00F3378A"/>
    <w:rsid w:val="00F366A0"/>
    <w:rsid w:val="00F47D03"/>
    <w:rsid w:val="00F60C91"/>
    <w:rsid w:val="00F63289"/>
    <w:rsid w:val="00F6332F"/>
    <w:rsid w:val="00F71618"/>
    <w:rsid w:val="00F751A9"/>
    <w:rsid w:val="00F75A23"/>
    <w:rsid w:val="00F9212A"/>
    <w:rsid w:val="00F94B98"/>
    <w:rsid w:val="00F96FE3"/>
    <w:rsid w:val="00FA0ABA"/>
    <w:rsid w:val="00FA353E"/>
    <w:rsid w:val="00FA4785"/>
    <w:rsid w:val="00FB2F71"/>
    <w:rsid w:val="00FB39A0"/>
    <w:rsid w:val="00FC47AA"/>
    <w:rsid w:val="00FC7E81"/>
    <w:rsid w:val="00FD1E33"/>
    <w:rsid w:val="00FD6926"/>
    <w:rsid w:val="00FF161E"/>
    <w:rsid w:val="00FF6BB9"/>
    <w:rsid w:val="00FF7B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F166FEC-820B-4F1C-AF51-42C54AFF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D71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C51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A061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5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character" w:styleId="Hipervnculo">
    <w:name w:val="Hyperlink"/>
    <w:basedOn w:val="Fuentedeprrafopredeter"/>
    <w:uiPriority w:val="99"/>
    <w:unhideWhenUsed/>
    <w:rsid w:val="00AD710D"/>
    <w:rPr>
      <w:color w:val="0563C1" w:themeColor="hyperlink"/>
      <w:u w:val="single"/>
    </w:rPr>
  </w:style>
  <w:style w:type="paragraph" w:styleId="TDC1">
    <w:name w:val="toc 1"/>
    <w:basedOn w:val="Normal"/>
    <w:next w:val="Normal"/>
    <w:autoRedefine/>
    <w:uiPriority w:val="39"/>
    <w:unhideWhenUsed/>
    <w:rsid w:val="00AD710D"/>
    <w:pPr>
      <w:tabs>
        <w:tab w:val="left" w:pos="440"/>
        <w:tab w:val="right" w:leader="dot" w:pos="8828"/>
      </w:tabs>
      <w:spacing w:after="100" w:line="480" w:lineRule="auto"/>
      <w:ind w:left="440"/>
      <w:jc w:val="both"/>
    </w:pPr>
    <w:rPr>
      <w:rFonts w:eastAsiaTheme="minorEastAsia"/>
      <w:sz w:val="24"/>
      <w:szCs w:val="24"/>
      <w:lang w:val="es-ES_tradnl" w:eastAsia="es-ES"/>
    </w:rPr>
  </w:style>
  <w:style w:type="paragraph" w:styleId="TDC2">
    <w:name w:val="toc 2"/>
    <w:basedOn w:val="Normal"/>
    <w:next w:val="Normal"/>
    <w:autoRedefine/>
    <w:uiPriority w:val="39"/>
    <w:unhideWhenUsed/>
    <w:rsid w:val="00AD710D"/>
    <w:pPr>
      <w:tabs>
        <w:tab w:val="right" w:leader="dot" w:pos="9676"/>
      </w:tabs>
      <w:spacing w:after="100" w:line="480" w:lineRule="auto"/>
      <w:ind w:left="720" w:hanging="240"/>
    </w:pPr>
    <w:rPr>
      <w:rFonts w:eastAsiaTheme="minorEastAsia"/>
      <w:sz w:val="24"/>
      <w:szCs w:val="24"/>
      <w:lang w:val="es-ES_tradnl" w:eastAsia="es-ES"/>
    </w:rPr>
  </w:style>
  <w:style w:type="character" w:customStyle="1" w:styleId="Ttulo1Car">
    <w:name w:val="Título 1 Car"/>
    <w:basedOn w:val="Fuentedeprrafopredeter"/>
    <w:link w:val="Ttulo1"/>
    <w:uiPriority w:val="9"/>
    <w:rsid w:val="00AD710D"/>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D710D"/>
    <w:pPr>
      <w:outlineLvl w:val="9"/>
    </w:pPr>
    <w:rPr>
      <w:rFonts w:ascii="Palatino Linotype" w:hAnsi="Palatino Linotype"/>
      <w:color w:val="auto"/>
      <w:sz w:val="24"/>
      <w:lang w:eastAsia="es-MX"/>
    </w:rPr>
  </w:style>
  <w:style w:type="character" w:customStyle="1" w:styleId="Ttulo2Car">
    <w:name w:val="Título 2 Car"/>
    <w:basedOn w:val="Fuentedeprrafopredeter"/>
    <w:link w:val="Ttulo2"/>
    <w:uiPriority w:val="9"/>
    <w:rsid w:val="00DC5170"/>
    <w:rPr>
      <w:rFonts w:asciiTheme="majorHAnsi" w:eastAsiaTheme="majorEastAsia" w:hAnsiTheme="majorHAnsi" w:cstheme="majorBidi"/>
      <w:color w:val="2E74B5" w:themeColor="accent1" w:themeShade="BF"/>
      <w:sz w:val="26"/>
      <w:szCs w:val="26"/>
    </w:rPr>
  </w:style>
  <w:style w:type="paragraph" w:styleId="Sinespaciado">
    <w:name w:val="No Spacing"/>
    <w:uiPriority w:val="1"/>
    <w:qFormat/>
    <w:rsid w:val="00E556DF"/>
    <w:pPr>
      <w:spacing w:after="0" w:line="240" w:lineRule="auto"/>
    </w:pPr>
  </w:style>
  <w:style w:type="character" w:customStyle="1" w:styleId="Ttulo3Car">
    <w:name w:val="Título 3 Car"/>
    <w:basedOn w:val="Fuentedeprrafopredeter"/>
    <w:link w:val="Ttulo3"/>
    <w:uiPriority w:val="9"/>
    <w:semiHidden/>
    <w:rsid w:val="00A061B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148291">
      <w:bodyDiv w:val="1"/>
      <w:marLeft w:val="0"/>
      <w:marRight w:val="0"/>
      <w:marTop w:val="0"/>
      <w:marBottom w:val="0"/>
      <w:divBdr>
        <w:top w:val="none" w:sz="0" w:space="0" w:color="auto"/>
        <w:left w:val="none" w:sz="0" w:space="0" w:color="auto"/>
        <w:bottom w:val="none" w:sz="0" w:space="0" w:color="auto"/>
        <w:right w:val="none" w:sz="0" w:space="0" w:color="auto"/>
      </w:divBdr>
    </w:div>
    <w:div w:id="376857564">
      <w:bodyDiv w:val="1"/>
      <w:marLeft w:val="0"/>
      <w:marRight w:val="0"/>
      <w:marTop w:val="0"/>
      <w:marBottom w:val="0"/>
      <w:divBdr>
        <w:top w:val="none" w:sz="0" w:space="0" w:color="auto"/>
        <w:left w:val="none" w:sz="0" w:space="0" w:color="auto"/>
        <w:bottom w:val="none" w:sz="0" w:space="0" w:color="auto"/>
        <w:right w:val="none" w:sz="0" w:space="0" w:color="auto"/>
      </w:divBdr>
    </w:div>
    <w:div w:id="568155467">
      <w:bodyDiv w:val="1"/>
      <w:marLeft w:val="0"/>
      <w:marRight w:val="0"/>
      <w:marTop w:val="0"/>
      <w:marBottom w:val="0"/>
      <w:divBdr>
        <w:top w:val="none" w:sz="0" w:space="0" w:color="auto"/>
        <w:left w:val="none" w:sz="0" w:space="0" w:color="auto"/>
        <w:bottom w:val="none" w:sz="0" w:space="0" w:color="auto"/>
        <w:right w:val="none" w:sz="0" w:space="0" w:color="auto"/>
      </w:divBdr>
    </w:div>
    <w:div w:id="578370569">
      <w:bodyDiv w:val="1"/>
      <w:marLeft w:val="0"/>
      <w:marRight w:val="0"/>
      <w:marTop w:val="0"/>
      <w:marBottom w:val="0"/>
      <w:divBdr>
        <w:top w:val="none" w:sz="0" w:space="0" w:color="auto"/>
        <w:left w:val="none" w:sz="0" w:space="0" w:color="auto"/>
        <w:bottom w:val="none" w:sz="0" w:space="0" w:color="auto"/>
        <w:right w:val="none" w:sz="0" w:space="0" w:color="auto"/>
      </w:divBdr>
    </w:div>
    <w:div w:id="719670692">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817799240">
      <w:bodyDiv w:val="1"/>
      <w:marLeft w:val="0"/>
      <w:marRight w:val="0"/>
      <w:marTop w:val="0"/>
      <w:marBottom w:val="0"/>
      <w:divBdr>
        <w:top w:val="none" w:sz="0" w:space="0" w:color="auto"/>
        <w:left w:val="none" w:sz="0" w:space="0" w:color="auto"/>
        <w:bottom w:val="none" w:sz="0" w:space="0" w:color="auto"/>
        <w:right w:val="none" w:sz="0" w:space="0" w:color="auto"/>
      </w:divBdr>
    </w:div>
    <w:div w:id="194819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fgjem.edomex.gob.mx/sites/fgjem.edomex.gob.mx/files/files/Acercade/AgenciaMinisterioPublico/SUBPROCURADURI%CC%81A%20NEZAHUALCO%CC%81YOTL.pdf" TargetMode="External"/><Relationship Id="rId2" Type="http://schemas.openxmlformats.org/officeDocument/2006/relationships/hyperlink" Target="http://legislacion.edomex.gob.mx/sites/legislacion.edomex.gob.mx/files/files/pdf/gct/2018/may033.pdf" TargetMode="External"/><Relationship Id="rId1" Type="http://schemas.openxmlformats.org/officeDocument/2006/relationships/hyperlink" Target="http://legislacion.edomex.gob.mx/sites/legislacion.edomex.gob.mx/files/files/pdf/gct/2016/jun174.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328F5-7702-482B-A27A-CA390B0B1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49</Pages>
  <Words>10626</Words>
  <Characters>58443</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2018-08-17T00:46:00Z</cp:lastPrinted>
  <dcterms:created xsi:type="dcterms:W3CDTF">2018-08-15T19:44:00Z</dcterms:created>
  <dcterms:modified xsi:type="dcterms:W3CDTF">2018-09-13T15:58:00Z</dcterms:modified>
</cp:coreProperties>
</file>